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投标物资报价表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5"/>
        <w:gridCol w:w="1455"/>
        <w:gridCol w:w="1035"/>
        <w:gridCol w:w="780"/>
        <w:gridCol w:w="1350"/>
        <w:gridCol w:w="1380"/>
        <w:gridCol w:w="1425"/>
        <w:gridCol w:w="1628"/>
        <w:gridCol w:w="1990"/>
        <w:gridCol w:w="1025"/>
        <w:gridCol w:w="12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3990" w:type="dxa"/>
            <w:gridSpan w:val="11"/>
            <w:tcBorders>
              <w:top w:val="nil"/>
              <w:left w:val="nil"/>
              <w:right w:val="nil"/>
            </w:tcBorders>
          </w:tcPr>
          <w:p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招标人名称：</w:t>
            </w:r>
            <w:r>
              <w:rPr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中铁建物产科技有限公司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高新智造公司</w:t>
            </w:r>
            <w:r>
              <w:rPr>
                <w:szCs w:val="21"/>
              </w:rPr>
              <w:t xml:space="preserve">                                                </w:t>
            </w:r>
          </w:p>
          <w:p>
            <w:pPr>
              <w:widowControl/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招标编号：15WCKJ-202610-009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1</w:t>
            </w:r>
            <w:r>
              <w:rPr>
                <w:rFonts w:hint="eastAsia"/>
                <w:szCs w:val="21"/>
                <w:lang w:eastAsia="zh-CN"/>
              </w:rPr>
              <w:t>）</w:t>
            </w:r>
            <w:r>
              <w:rPr>
                <w:rFonts w:hint="eastAsia"/>
                <w:szCs w:val="21"/>
              </w:rPr>
              <w:t xml:space="preserve">                </w:t>
            </w:r>
            <w:r>
              <w:rPr>
                <w:szCs w:val="21"/>
              </w:rPr>
              <w:t xml:space="preserve">                     </w:t>
            </w:r>
            <w:r>
              <w:rPr>
                <w:rFonts w:hint="eastAsia"/>
                <w:szCs w:val="21"/>
              </w:rPr>
              <w:t>包件号:  CY</w:t>
            </w:r>
            <w:r>
              <w:rPr>
                <w:szCs w:val="21"/>
              </w:rPr>
              <w:t xml:space="preserve">                 </w:t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单位</w:t>
            </w:r>
            <w:r>
              <w:rPr>
                <w:szCs w:val="21"/>
              </w:rPr>
              <w:t>:</w:t>
            </w:r>
            <w:r>
              <w:rPr>
                <w:rFonts w:hint="eastAsia"/>
                <w:szCs w:val="21"/>
              </w:rPr>
              <w:t>人民币元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655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序号</w:t>
            </w:r>
          </w:p>
        </w:tc>
        <w:tc>
          <w:tcPr>
            <w:tcW w:w="1455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物资名称</w:t>
            </w:r>
          </w:p>
        </w:tc>
        <w:tc>
          <w:tcPr>
            <w:tcW w:w="1035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规格型号</w:t>
            </w:r>
          </w:p>
        </w:tc>
        <w:tc>
          <w:tcPr>
            <w:tcW w:w="780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计量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单位</w:t>
            </w:r>
          </w:p>
        </w:tc>
        <w:tc>
          <w:tcPr>
            <w:tcW w:w="135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数量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tabs>
                <w:tab w:val="left" w:pos="251"/>
                <w:tab w:val="center" w:pos="838"/>
              </w:tabs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投标期出厂单价</w:t>
            </w:r>
          </w:p>
        </w:tc>
        <w:tc>
          <w:tcPr>
            <w:tcW w:w="1425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价差（元）</w:t>
            </w:r>
          </w:p>
        </w:tc>
        <w:tc>
          <w:tcPr>
            <w:tcW w:w="1628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投标期到站</w:t>
            </w:r>
          </w:p>
          <w:p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单价（元）</w:t>
            </w:r>
          </w:p>
        </w:tc>
        <w:tc>
          <w:tcPr>
            <w:tcW w:w="1990" w:type="dxa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合价（元）</w:t>
            </w:r>
          </w:p>
        </w:tc>
        <w:tc>
          <w:tcPr>
            <w:tcW w:w="1025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品牌</w:t>
            </w:r>
          </w:p>
        </w:tc>
        <w:tc>
          <w:tcPr>
            <w:tcW w:w="1267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655" w:type="dxa"/>
            <w:vMerge w:val="continue"/>
            <w:vAlign w:val="center"/>
          </w:tcPr>
          <w:p>
            <w:pPr>
              <w:widowControl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455" w:type="dxa"/>
            <w:vMerge w:val="continue"/>
            <w:vAlign w:val="center"/>
          </w:tcPr>
          <w:p>
            <w:pPr>
              <w:widowControl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35" w:type="dxa"/>
            <w:vMerge w:val="continue"/>
            <w:vAlign w:val="center"/>
          </w:tcPr>
          <w:p>
            <w:pPr>
              <w:widowControl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780" w:type="dxa"/>
            <w:vMerge w:val="continue"/>
            <w:vAlign w:val="center"/>
          </w:tcPr>
          <w:p>
            <w:pPr>
              <w:widowControl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50" w:type="dxa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C</w:t>
            </w:r>
          </w:p>
        </w:tc>
        <w:tc>
          <w:tcPr>
            <w:tcW w:w="1380" w:type="dxa"/>
            <w:vAlign w:val="center"/>
          </w:tcPr>
          <w:p>
            <w:pPr>
              <w:spacing w:line="276" w:lineRule="auto"/>
              <w:jc w:val="center"/>
            </w:pPr>
            <w:r>
              <w:rPr>
                <w:rFonts w:hint="eastAsia"/>
              </w:rPr>
              <w:t>B1</w:t>
            </w:r>
          </w:p>
        </w:tc>
        <w:tc>
          <w:tcPr>
            <w:tcW w:w="1425" w:type="dxa"/>
            <w:vAlign w:val="center"/>
          </w:tcPr>
          <w:p>
            <w:pPr>
              <w:spacing w:line="276" w:lineRule="auto"/>
              <w:jc w:val="center"/>
            </w:pPr>
            <w:r>
              <w:rPr>
                <w:rFonts w:hint="eastAsia"/>
              </w:rPr>
              <w:t>Y</w:t>
            </w:r>
          </w:p>
        </w:tc>
        <w:tc>
          <w:tcPr>
            <w:tcW w:w="1628" w:type="dxa"/>
            <w:vAlign w:val="center"/>
          </w:tcPr>
          <w:p>
            <w:pPr>
              <w:spacing w:line="276" w:lineRule="auto"/>
              <w:jc w:val="center"/>
            </w:pPr>
            <w:r>
              <w:rPr>
                <w:rFonts w:hint="eastAsia"/>
              </w:rPr>
              <w:t>A1</w:t>
            </w:r>
            <w:r>
              <w:t>=</w:t>
            </w:r>
            <w:r>
              <w:rPr>
                <w:rFonts w:hint="eastAsia"/>
              </w:rPr>
              <w:t>B1+Y</w:t>
            </w:r>
          </w:p>
        </w:tc>
        <w:tc>
          <w:tcPr>
            <w:tcW w:w="1990" w:type="dxa"/>
            <w:vAlign w:val="center"/>
          </w:tcPr>
          <w:p>
            <w:pPr>
              <w:spacing w:line="276" w:lineRule="auto"/>
              <w:jc w:val="center"/>
            </w:pPr>
            <w:r>
              <w:rPr>
                <w:rFonts w:hint="eastAsia"/>
              </w:rPr>
              <w:t>D=A1</w:t>
            </w:r>
            <w:r>
              <w:t>×</w:t>
            </w:r>
            <w:r>
              <w:rPr>
                <w:rFonts w:hint="eastAsia"/>
              </w:rPr>
              <w:t>C</w:t>
            </w:r>
          </w:p>
        </w:tc>
        <w:tc>
          <w:tcPr>
            <w:tcW w:w="1025" w:type="dxa"/>
            <w:vMerge w:val="continue"/>
            <w:vAlign w:val="center"/>
          </w:tcPr>
          <w:p>
            <w:pPr>
              <w:widowControl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67" w:type="dxa"/>
            <w:vMerge w:val="continue"/>
            <w:vAlign w:val="center"/>
          </w:tcPr>
          <w:p>
            <w:pPr>
              <w:widowControl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6" w:hRule="atLeast"/>
          <w:jc w:val="center"/>
        </w:trPr>
        <w:tc>
          <w:tcPr>
            <w:tcW w:w="65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柴油</w:t>
            </w:r>
          </w:p>
        </w:tc>
        <w:tc>
          <w:tcPr>
            <w:tcW w:w="103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0#</w:t>
            </w: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吨</w:t>
            </w:r>
          </w:p>
        </w:tc>
        <w:tc>
          <w:tcPr>
            <w:tcW w:w="1350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cs="宋体"/>
                <w:szCs w:val="21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500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9340</w:t>
            </w:r>
          </w:p>
        </w:tc>
        <w:tc>
          <w:tcPr>
            <w:tcW w:w="142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62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9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25" w:type="dxa"/>
            <w:vMerge w:val="restart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中石油</w:t>
            </w:r>
          </w:p>
        </w:tc>
        <w:tc>
          <w:tcPr>
            <w:tcW w:w="1267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65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合计</w:t>
            </w:r>
          </w:p>
        </w:tc>
        <w:tc>
          <w:tcPr>
            <w:tcW w:w="145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3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7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50" w:type="dxa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500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42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62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9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25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67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</w:tbl>
    <w:p>
      <w:pPr>
        <w:widowControl/>
        <w:spacing w:line="480" w:lineRule="auto"/>
        <w:ind w:firstLine="630" w:firstLineChars="300"/>
        <w:rPr>
          <w:szCs w:val="21"/>
        </w:rPr>
      </w:pPr>
      <w:r>
        <w:rPr>
          <w:rFonts w:hint="eastAsia"/>
          <w:szCs w:val="21"/>
        </w:rPr>
        <w:t>投标到站总价（人民币大写）：</w:t>
      </w:r>
      <w:r>
        <w:rPr>
          <w:szCs w:val="21"/>
        </w:rPr>
        <w:t xml:space="preserve">   </w:t>
      </w:r>
    </w:p>
    <w:p>
      <w:pPr>
        <w:widowControl/>
        <w:spacing w:line="480" w:lineRule="auto"/>
        <w:ind w:firstLine="630" w:firstLineChars="300"/>
        <w:rPr>
          <w:szCs w:val="21"/>
        </w:rPr>
      </w:pPr>
      <w:r>
        <w:rPr>
          <w:rFonts w:hint="eastAsia"/>
          <w:szCs w:val="21"/>
        </w:rPr>
        <w:t>投标人名称（加盖单位公章）：</w:t>
      </w:r>
    </w:p>
    <w:p>
      <w:pPr>
        <w:widowControl/>
        <w:spacing w:line="480" w:lineRule="auto"/>
        <w:ind w:firstLine="630" w:firstLineChars="300"/>
        <w:rPr>
          <w:szCs w:val="21"/>
        </w:rPr>
      </w:pPr>
      <w:r>
        <w:rPr>
          <w:rFonts w:hint="eastAsia"/>
          <w:szCs w:val="21"/>
        </w:rPr>
        <w:t>法定代表人或被授权代理人签字：</w:t>
      </w:r>
      <w:r>
        <w:rPr>
          <w:szCs w:val="21"/>
        </w:rPr>
        <w:t xml:space="preserve">                     </w:t>
      </w:r>
      <w:r>
        <w:rPr>
          <w:rFonts w:hint="eastAsia"/>
          <w:szCs w:val="21"/>
        </w:rPr>
        <w:t xml:space="preserve">     </w:t>
      </w:r>
      <w:r>
        <w:rPr>
          <w:szCs w:val="21"/>
        </w:rPr>
        <w:t xml:space="preserve"> </w:t>
      </w:r>
      <w:bookmarkStart w:id="0" w:name="_GoBack"/>
      <w:bookmarkEnd w:id="0"/>
    </w:p>
    <w:p>
      <w:pPr>
        <w:widowControl/>
        <w:spacing w:line="480" w:lineRule="auto"/>
        <w:ind w:firstLine="630" w:firstLineChars="300"/>
        <w:rPr>
          <w:szCs w:val="21"/>
        </w:rPr>
      </w:pPr>
      <w:r>
        <w:rPr>
          <w:rFonts w:hint="eastAsia"/>
          <w:szCs w:val="21"/>
        </w:rPr>
        <w:t>联系电话：</w:t>
      </w:r>
      <w:r>
        <w:rPr>
          <w:szCs w:val="21"/>
        </w:rPr>
        <w:t xml:space="preserve">                               </w:t>
      </w:r>
      <w:r>
        <w:rPr>
          <w:rFonts w:hint="eastAsia"/>
          <w:szCs w:val="21"/>
        </w:rPr>
        <w:t xml:space="preserve">    </w:t>
      </w:r>
    </w:p>
    <w:p>
      <w:pPr>
        <w:widowControl/>
        <w:spacing w:line="480" w:lineRule="auto"/>
        <w:ind w:firstLine="630" w:firstLineChars="300"/>
        <w:rPr>
          <w:szCs w:val="21"/>
        </w:rPr>
      </w:pPr>
      <w:r>
        <w:rPr>
          <w:rFonts w:hint="eastAsia"/>
          <w:szCs w:val="21"/>
        </w:rPr>
        <w:t>日期：</w:t>
      </w:r>
      <w:r>
        <w:rPr>
          <w:szCs w:val="21"/>
        </w:rPr>
        <w:t xml:space="preserve">       </w:t>
      </w:r>
      <w:r>
        <w:rPr>
          <w:rFonts w:hint="eastAsia"/>
          <w:szCs w:val="21"/>
        </w:rPr>
        <w:t xml:space="preserve"> 年</w:t>
      </w:r>
      <w:r>
        <w:rPr>
          <w:szCs w:val="21"/>
        </w:rPr>
        <w:t xml:space="preserve">    </w:t>
      </w:r>
      <w:r>
        <w:rPr>
          <w:rFonts w:hint="eastAsia"/>
          <w:szCs w:val="21"/>
        </w:rPr>
        <w:t>月</w:t>
      </w:r>
      <w:r>
        <w:rPr>
          <w:szCs w:val="21"/>
        </w:rPr>
        <w:t xml:space="preserve">    </w:t>
      </w:r>
      <w:r>
        <w:rPr>
          <w:rFonts w:hint="eastAsia"/>
          <w:szCs w:val="21"/>
        </w:rPr>
        <w:t>日</w:t>
      </w:r>
    </w:p>
    <w:sectPr>
      <w:pgSz w:w="16838" w:h="11906" w:orient="landscape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U0MzMzZWRiYTEzZWFmY2RhMTIyNGFiNTU5Y2JmNTQifQ=="/>
  </w:docVars>
  <w:rsids>
    <w:rsidRoot w:val="5C691B19"/>
    <w:rsid w:val="001069AC"/>
    <w:rsid w:val="001A65E8"/>
    <w:rsid w:val="00280B1C"/>
    <w:rsid w:val="003B50F8"/>
    <w:rsid w:val="003E4EAB"/>
    <w:rsid w:val="005B419E"/>
    <w:rsid w:val="009D7A16"/>
    <w:rsid w:val="00CE55AC"/>
    <w:rsid w:val="00DD4871"/>
    <w:rsid w:val="00F94873"/>
    <w:rsid w:val="00F97A8F"/>
    <w:rsid w:val="00FD7ED0"/>
    <w:rsid w:val="00FF60BB"/>
    <w:rsid w:val="0205288C"/>
    <w:rsid w:val="03480C19"/>
    <w:rsid w:val="04D36AC9"/>
    <w:rsid w:val="05D71DE8"/>
    <w:rsid w:val="07896261"/>
    <w:rsid w:val="0A774EEC"/>
    <w:rsid w:val="0D6C4C12"/>
    <w:rsid w:val="0F0D43CD"/>
    <w:rsid w:val="100500D1"/>
    <w:rsid w:val="112F1506"/>
    <w:rsid w:val="12276FE0"/>
    <w:rsid w:val="13781B03"/>
    <w:rsid w:val="14FD080C"/>
    <w:rsid w:val="17574BB0"/>
    <w:rsid w:val="1CD22DF3"/>
    <w:rsid w:val="1E1D5F75"/>
    <w:rsid w:val="1F1141F3"/>
    <w:rsid w:val="1F773E13"/>
    <w:rsid w:val="224F5D15"/>
    <w:rsid w:val="23733FB9"/>
    <w:rsid w:val="24C33A9C"/>
    <w:rsid w:val="25C964F2"/>
    <w:rsid w:val="282255D1"/>
    <w:rsid w:val="28AB274B"/>
    <w:rsid w:val="29E814AE"/>
    <w:rsid w:val="2A2861BD"/>
    <w:rsid w:val="2B4B2FAA"/>
    <w:rsid w:val="2DD5620E"/>
    <w:rsid w:val="2EC22498"/>
    <w:rsid w:val="2FCC62F0"/>
    <w:rsid w:val="31694D80"/>
    <w:rsid w:val="328B5AAE"/>
    <w:rsid w:val="32C86529"/>
    <w:rsid w:val="35EB1A4E"/>
    <w:rsid w:val="395377BF"/>
    <w:rsid w:val="3A2B68EA"/>
    <w:rsid w:val="3A7C25FE"/>
    <w:rsid w:val="3D8C0261"/>
    <w:rsid w:val="3DA7041F"/>
    <w:rsid w:val="3F841218"/>
    <w:rsid w:val="40A012DD"/>
    <w:rsid w:val="40E91077"/>
    <w:rsid w:val="41AB0A0D"/>
    <w:rsid w:val="43754D12"/>
    <w:rsid w:val="46095A4C"/>
    <w:rsid w:val="47D42E31"/>
    <w:rsid w:val="4AAE4ADD"/>
    <w:rsid w:val="4B0F19CD"/>
    <w:rsid w:val="4C5348B6"/>
    <w:rsid w:val="53EF73CD"/>
    <w:rsid w:val="54C2251A"/>
    <w:rsid w:val="55BE3057"/>
    <w:rsid w:val="55E84D9E"/>
    <w:rsid w:val="58B67CED"/>
    <w:rsid w:val="59BF0659"/>
    <w:rsid w:val="5C691B19"/>
    <w:rsid w:val="5E0727F3"/>
    <w:rsid w:val="62937B25"/>
    <w:rsid w:val="63851E39"/>
    <w:rsid w:val="63C429B2"/>
    <w:rsid w:val="698527C2"/>
    <w:rsid w:val="6B067740"/>
    <w:rsid w:val="6D774ABF"/>
    <w:rsid w:val="6E837382"/>
    <w:rsid w:val="715B1B31"/>
    <w:rsid w:val="73C40B63"/>
    <w:rsid w:val="766B2039"/>
    <w:rsid w:val="7786078C"/>
    <w:rsid w:val="78B236BE"/>
    <w:rsid w:val="7AEC35AA"/>
    <w:rsid w:val="7E3B1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9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2" w:lineRule="auto"/>
      <w:ind w:firstLine="49" w:firstLineChars="49"/>
      <w:outlineLvl w:val="2"/>
    </w:pPr>
    <w:rPr>
      <w:rFonts w:ascii="黑体" w:eastAsia="黑体"/>
      <w:sz w:val="28"/>
      <w:szCs w:val="20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index 5"/>
    <w:basedOn w:val="1"/>
    <w:next w:val="1"/>
    <w:qFormat/>
    <w:uiPriority w:val="0"/>
    <w:pPr>
      <w:ind w:left="1680"/>
    </w:pPr>
  </w:style>
  <w:style w:type="paragraph" w:styleId="6">
    <w:name w:val="Body Text"/>
    <w:basedOn w:val="1"/>
    <w:next w:val="1"/>
    <w:qFormat/>
    <w:uiPriority w:val="0"/>
    <w:rPr>
      <w:sz w:val="28"/>
    </w:rPr>
  </w:style>
  <w:style w:type="paragraph" w:styleId="7">
    <w:name w:val="Body Text Indent 2"/>
    <w:basedOn w:val="1"/>
    <w:qFormat/>
    <w:uiPriority w:val="99"/>
    <w:pPr>
      <w:widowControl/>
      <w:overflowPunct w:val="0"/>
      <w:autoSpaceDE w:val="0"/>
      <w:autoSpaceDN w:val="0"/>
      <w:adjustRightInd w:val="0"/>
      <w:spacing w:line="360" w:lineRule="auto"/>
      <w:ind w:firstLine="555"/>
      <w:textAlignment w:val="baseline"/>
    </w:pPr>
    <w:rPr>
      <w:kern w:val="0"/>
      <w:sz w:val="24"/>
    </w:rPr>
  </w:style>
  <w:style w:type="paragraph" w:styleId="8">
    <w:name w:val="footer"/>
    <w:basedOn w:val="1"/>
    <w:link w:val="3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35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2"/>
    <w:basedOn w:val="1"/>
    <w:next w:val="1"/>
    <w:qFormat/>
    <w:uiPriority w:val="99"/>
    <w:pPr>
      <w:tabs>
        <w:tab w:val="right" w:leader="dot" w:pos="9345"/>
      </w:tabs>
      <w:ind w:left="420" w:leftChars="200" w:firstLine="130" w:firstLineChars="54"/>
    </w:pPr>
    <w:rPr>
      <w:rFonts w:ascii="仿宋_GB2312" w:eastAsia="仿宋_GB2312"/>
      <w:sz w:val="24"/>
      <w:szCs w:val="32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</w:style>
  <w:style w:type="character" w:styleId="15">
    <w:name w:val="FollowedHyperlink"/>
    <w:basedOn w:val="13"/>
    <w:qFormat/>
    <w:uiPriority w:val="0"/>
    <w:rPr>
      <w:color w:val="999999"/>
      <w:u w:val="none"/>
    </w:rPr>
  </w:style>
  <w:style w:type="character" w:styleId="16">
    <w:name w:val="Emphasis"/>
    <w:basedOn w:val="13"/>
    <w:qFormat/>
    <w:uiPriority w:val="0"/>
  </w:style>
  <w:style w:type="character" w:styleId="17">
    <w:name w:val="HTML Definition"/>
    <w:basedOn w:val="13"/>
    <w:qFormat/>
    <w:uiPriority w:val="0"/>
  </w:style>
  <w:style w:type="character" w:styleId="18">
    <w:name w:val="HTML Variable"/>
    <w:basedOn w:val="13"/>
    <w:qFormat/>
    <w:uiPriority w:val="0"/>
  </w:style>
  <w:style w:type="character" w:styleId="19">
    <w:name w:val="Hyperlink"/>
    <w:basedOn w:val="13"/>
    <w:qFormat/>
    <w:uiPriority w:val="0"/>
    <w:rPr>
      <w:color w:val="0656AA"/>
      <w:u w:val="none"/>
    </w:rPr>
  </w:style>
  <w:style w:type="character" w:styleId="20">
    <w:name w:val="HTML Code"/>
    <w:basedOn w:val="13"/>
    <w:qFormat/>
    <w:uiPriority w:val="0"/>
    <w:rPr>
      <w:rFonts w:ascii="Courier New" w:hAnsi="Courier New"/>
      <w:sz w:val="20"/>
    </w:rPr>
  </w:style>
  <w:style w:type="character" w:styleId="21">
    <w:name w:val="HTML Cite"/>
    <w:basedOn w:val="13"/>
    <w:qFormat/>
    <w:uiPriority w:val="0"/>
  </w:style>
  <w:style w:type="paragraph" w:customStyle="1" w:styleId="22">
    <w:name w:val="正文+缩进"/>
    <w:basedOn w:val="1"/>
    <w:qFormat/>
    <w:uiPriority w:val="0"/>
    <w:pPr>
      <w:ind w:firstLine="200" w:firstLineChars="200"/>
    </w:pPr>
  </w:style>
  <w:style w:type="paragraph" w:customStyle="1" w:styleId="23">
    <w:name w:val="Default"/>
    <w:next w:val="10"/>
    <w:qFormat/>
    <w:uiPriority w:val="99"/>
    <w:pPr>
      <w:widowControl w:val="0"/>
      <w:autoSpaceDE w:val="0"/>
      <w:autoSpaceDN w:val="0"/>
      <w:adjustRightInd w:val="0"/>
      <w:jc w:val="center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character" w:customStyle="1" w:styleId="24">
    <w:name w:val="x-tab-strip-text"/>
    <w:basedOn w:val="13"/>
    <w:qFormat/>
    <w:uiPriority w:val="0"/>
  </w:style>
  <w:style w:type="character" w:customStyle="1" w:styleId="25">
    <w:name w:val="x-tab-strip-text1"/>
    <w:basedOn w:val="13"/>
    <w:qFormat/>
    <w:uiPriority w:val="0"/>
    <w:rPr>
      <w:b/>
      <w:bCs/>
      <w:color w:val="000000"/>
    </w:rPr>
  </w:style>
  <w:style w:type="character" w:customStyle="1" w:styleId="26">
    <w:name w:val="x-tab-strip-text2"/>
    <w:basedOn w:val="13"/>
    <w:qFormat/>
    <w:uiPriority w:val="0"/>
    <w:rPr>
      <w:color w:val="0656AA"/>
    </w:rPr>
  </w:style>
  <w:style w:type="character" w:customStyle="1" w:styleId="27">
    <w:name w:val="x-tab-strip-text3"/>
    <w:basedOn w:val="13"/>
    <w:qFormat/>
    <w:uiPriority w:val="0"/>
    <w:rPr>
      <w:b/>
      <w:bCs/>
      <w:color w:val="15428B"/>
    </w:rPr>
  </w:style>
  <w:style w:type="character" w:customStyle="1" w:styleId="28">
    <w:name w:val="x-tab-strip-text4"/>
    <w:basedOn w:val="13"/>
    <w:qFormat/>
    <w:uiPriority w:val="0"/>
    <w:rPr>
      <w:color w:val="111111"/>
    </w:rPr>
  </w:style>
  <w:style w:type="character" w:customStyle="1" w:styleId="29">
    <w:name w:val="x-tab-strip-text5"/>
    <w:basedOn w:val="13"/>
    <w:qFormat/>
    <w:uiPriority w:val="0"/>
    <w:rPr>
      <w:rFonts w:ascii="Tahoma" w:hAnsi="Tahoma" w:eastAsia="Tahoma" w:cs="Tahoma"/>
      <w:color w:val="416AA3"/>
      <w:sz w:val="14"/>
      <w:szCs w:val="14"/>
    </w:rPr>
  </w:style>
  <w:style w:type="character" w:customStyle="1" w:styleId="30">
    <w:name w:val="x-tab-strip-text6"/>
    <w:basedOn w:val="13"/>
    <w:qFormat/>
    <w:uiPriority w:val="0"/>
  </w:style>
  <w:style w:type="character" w:customStyle="1" w:styleId="31">
    <w:name w:val="x-tab-strip-text7"/>
    <w:basedOn w:val="13"/>
    <w:qFormat/>
    <w:uiPriority w:val="0"/>
    <w:rPr>
      <w:rFonts w:hint="default" w:ascii="Arial" w:hAnsi="Arial" w:cs="Arial"/>
      <w:color w:val="0656AA"/>
      <w:sz w:val="15"/>
      <w:szCs w:val="15"/>
    </w:rPr>
  </w:style>
  <w:style w:type="character" w:customStyle="1" w:styleId="32">
    <w:name w:val="x-tab-strip-text8"/>
    <w:basedOn w:val="13"/>
    <w:qFormat/>
    <w:uiPriority w:val="0"/>
  </w:style>
  <w:style w:type="character" w:customStyle="1" w:styleId="33">
    <w:name w:val="gtp-comp2"/>
    <w:basedOn w:val="13"/>
    <w:qFormat/>
    <w:uiPriority w:val="0"/>
  </w:style>
  <w:style w:type="character" w:customStyle="1" w:styleId="34">
    <w:name w:val="gtp-comp-wrap2"/>
    <w:basedOn w:val="13"/>
    <w:qFormat/>
    <w:uiPriority w:val="0"/>
  </w:style>
  <w:style w:type="character" w:customStyle="1" w:styleId="35">
    <w:name w:val="页眉 字符"/>
    <w:basedOn w:val="13"/>
    <w:link w:val="9"/>
    <w:qFormat/>
    <w:uiPriority w:val="0"/>
    <w:rPr>
      <w:kern w:val="2"/>
      <w:sz w:val="18"/>
      <w:szCs w:val="18"/>
    </w:rPr>
  </w:style>
  <w:style w:type="character" w:customStyle="1" w:styleId="36">
    <w:name w:val="页脚 字符"/>
    <w:basedOn w:val="13"/>
    <w:link w:val="8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中铁15局</Company>
  <Pages>1</Pages>
  <Words>176</Words>
  <Characters>213</Characters>
  <Lines>4</Lines>
  <Paragraphs>1</Paragraphs>
  <TotalTime>2</TotalTime>
  <ScaleCrop>false</ScaleCrop>
  <LinksUpToDate>false</LinksUpToDate>
  <CharactersWithSpaces>437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2025-11-13T01:48:00Z</dcterms:created>
  <dc:creator>milyx89</dc:creator>
  <cp:lastModifiedBy>Administrator</cp:lastModifiedBy>
  <dcterms:modified xsi:type="dcterms:W3CDTF">2026-10-22T09:53:41Z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  <property fmtid="{D5CDD505-2E9C-101B-9397-08002B2CF9AE}" pid="3" name="ICV">
    <vt:lpwstr>C6C90505AFC8461BA85081D059C800D8</vt:lpwstr>
  </property>
  <property fmtid="{D5CDD505-2E9C-101B-9397-08002B2CF9AE}" pid="4" name="KSOTemplateDocerSaveRecord">
    <vt:lpwstr>eyJoZGlkIjoiMzFjZmQyZmM3ODE3MTVhOGU2MzdjNGU4MTEwYTUzNzUiLCJ1c2VySWQiOiI1MjQ0NzcxMzcifQ==</vt:lpwstr>
  </property>
</Properties>
</file>