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jc w:val="center"/>
        <w:rPr>
          <w:rStyle w:val="6"/>
          <w:rFonts w:ascii="宋体" w:hAnsi="宋体" w:eastAsia="宋体" w:cs="宋体"/>
          <w:sz w:val="32"/>
          <w:szCs w:val="32"/>
        </w:rPr>
      </w:pPr>
      <w:r>
        <w:rPr>
          <w:rStyle w:val="6"/>
          <w:rFonts w:hint="eastAsia" w:ascii="宋体" w:hAnsi="宋体" w:eastAsia="宋体" w:cs="宋体"/>
          <w:sz w:val="32"/>
          <w:szCs w:val="32"/>
        </w:rPr>
        <w:t>中铁十五局集团第四工程有限公司金龙大道路面改造工程</w:t>
      </w:r>
    </w:p>
    <w:p>
      <w:pPr>
        <w:pStyle w:val="3"/>
        <w:widowControl/>
        <w:jc w:val="center"/>
      </w:pPr>
      <w:r>
        <w:rPr>
          <w:rStyle w:val="6"/>
          <w:rFonts w:hint="eastAsia" w:ascii="宋体" w:hAnsi="宋体" w:eastAsia="宋体" w:cs="宋体"/>
          <w:sz w:val="32"/>
          <w:szCs w:val="32"/>
          <w:highlight w:val="none"/>
          <w:lang w:val="en-US" w:eastAsia="zh-CN"/>
        </w:rPr>
        <w:t>机制砂、碎石、 石屑</w:t>
      </w:r>
      <w:r>
        <w:rPr>
          <w:rStyle w:val="6"/>
          <w:rFonts w:hint="eastAsia" w:ascii="宋体" w:hAnsi="宋体" w:eastAsia="宋体" w:cs="宋体"/>
          <w:sz w:val="32"/>
          <w:szCs w:val="32"/>
        </w:rPr>
        <w:t xml:space="preserve">竞争性谈判采购公告 </w:t>
      </w:r>
    </w:p>
    <w:p>
      <w:pPr>
        <w:pStyle w:val="3"/>
        <w:widowControl/>
        <w:jc w:val="center"/>
        <w:rPr>
          <w:rFonts w:hint="default" w:eastAsia="宋体"/>
          <w:lang w:val="en-US" w:eastAsia="zh-CN"/>
        </w:rPr>
      </w:pPr>
      <w:r>
        <w:rPr>
          <w:rFonts w:hint="eastAsia" w:ascii="宋体" w:hAnsi="宋体" w:eastAsia="宋体" w:cs="宋体"/>
        </w:rPr>
        <w:t>采购编号：</w:t>
      </w:r>
      <w:r>
        <w:rPr>
          <w:rFonts w:hint="eastAsia" w:ascii="宋体" w:hAnsi="宋体" w:eastAsia="宋体" w:cs="宋体"/>
          <w:lang w:val="en-US" w:eastAsia="zh-CN"/>
        </w:rPr>
        <w:t>CRCC-15G4C-2021-0127</w:t>
      </w:r>
    </w:p>
    <w:p>
      <w:pPr>
        <w:pStyle w:val="3"/>
        <w:widowControl/>
        <w:spacing w:line="360" w:lineRule="auto"/>
        <w:jc w:val="left"/>
        <w:rPr>
          <w:rFonts w:hint="default"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中铁十五局集团第四工程有限公司金龙大道路面改造工程项目经理部就</w:t>
      </w:r>
      <w:r>
        <w:rPr>
          <w:rFonts w:hint="eastAsia" w:ascii="宋体" w:hAnsi="宋体" w:eastAsia="宋体" w:cs="宋体"/>
          <w:b/>
          <w:bCs/>
          <w:sz w:val="28"/>
          <w:szCs w:val="28"/>
          <w:highlight w:val="none"/>
          <w:lang w:val="en-US" w:eastAsia="zh-CN"/>
        </w:rPr>
        <w:t>机制砂、碎石</w:t>
      </w:r>
      <w:r>
        <w:rPr>
          <w:rStyle w:val="6"/>
          <w:rFonts w:hint="eastAsia" w:ascii="宋体" w:hAnsi="宋体" w:eastAsia="宋体" w:cs="宋体"/>
          <w:b/>
          <w:bCs/>
          <w:sz w:val="28"/>
          <w:szCs w:val="28"/>
          <w:highlight w:val="none"/>
          <w:lang w:val="en-US" w:eastAsia="zh-CN"/>
        </w:rPr>
        <w:t>、石屑</w:t>
      </w:r>
      <w:r>
        <w:rPr>
          <w:rFonts w:hint="eastAsia" w:ascii="宋体" w:hAnsi="宋体" w:eastAsia="宋体" w:cs="宋体"/>
          <w:sz w:val="28"/>
          <w:szCs w:val="28"/>
        </w:rPr>
        <w:t>进行竞争性谈判采购，诚邀有意向的合格供应商参加竞争性</w:t>
      </w:r>
      <w:r>
        <w:rPr>
          <w:rFonts w:hint="eastAsia" w:ascii="宋体" w:hAnsi="宋体" w:eastAsia="宋体" w:cs="宋体"/>
          <w:sz w:val="28"/>
          <w:szCs w:val="28"/>
          <w:lang w:val="en-US" w:eastAsia="zh-CN"/>
        </w:rPr>
        <w:t>谈判。</w:t>
      </w:r>
    </w:p>
    <w:p>
      <w:pPr>
        <w:pStyle w:val="3"/>
        <w:widowControl/>
      </w:pPr>
      <w:r>
        <w:rPr>
          <w:rStyle w:val="6"/>
          <w:rFonts w:hint="eastAsia" w:ascii="宋体" w:hAnsi="宋体" w:eastAsia="宋体" w:cs="宋体"/>
        </w:rPr>
        <w:t>1、项目概况</w:t>
      </w:r>
    </w:p>
    <w:p>
      <w:pPr>
        <w:pStyle w:val="3"/>
        <w:widowControl/>
      </w:pPr>
      <w:r>
        <w:rPr>
          <w:rFonts w:hint="eastAsia" w:ascii="宋体" w:hAnsi="宋体" w:eastAsia="宋体" w:cs="宋体"/>
        </w:rPr>
        <w:t>1.1中铁十五局集团第四工程有限公司金龙大道路面改造工程项目经理部概况</w:t>
      </w:r>
    </w:p>
    <w:p>
      <w:pPr>
        <w:pStyle w:val="3"/>
        <w:widowControl/>
        <w:rPr>
          <w:rFonts w:ascii="宋体" w:hAnsi="宋体" w:eastAsia="宋体" w:cs="宋体"/>
        </w:rPr>
      </w:pPr>
      <w:r>
        <w:rPr>
          <w:rFonts w:hint="eastAsia" w:ascii="宋体" w:hAnsi="宋体" w:eastAsia="宋体" w:cs="宋体"/>
        </w:rPr>
        <w:t>工程名称：中铁十五局集团第四工程有限公司金龙大道路面改造工程</w:t>
      </w:r>
    </w:p>
    <w:p>
      <w:pPr>
        <w:pStyle w:val="3"/>
        <w:widowControl/>
      </w:pPr>
      <w:r>
        <w:rPr>
          <w:rFonts w:hint="eastAsia" w:ascii="宋体" w:hAnsi="宋体" w:eastAsia="宋体" w:cs="宋体"/>
        </w:rPr>
        <w:t>工程地点：广东省惠州市博罗县</w:t>
      </w:r>
    </w:p>
    <w:p>
      <w:pPr>
        <w:pStyle w:val="3"/>
        <w:widowControl/>
        <w:spacing w:line="360" w:lineRule="auto"/>
      </w:pPr>
      <w:r>
        <w:rPr>
          <w:rFonts w:hint="eastAsia" w:ascii="宋体" w:hAnsi="宋体" w:eastAsia="宋体" w:cs="宋体"/>
        </w:rPr>
        <w:t xml:space="preserve">工程概况：本项目路线起点于国道G220线龙门县与博罗县交界处，路线呈南北走向，沿线经过博罗的公庄、杨村、杨桥、泰美、罗阳等镇，终点位于国道G205线四角楼告诉公路出口，线路总长48.437公里，其中国道G220线博罗公庄至杨村十二岭（K2432+489～K2458+605）长26.116公里，国道G205线博罗十二岭至四角楼段（K2852+373～K2874+169）长21.796公里，十二岭立交连接线长0.525公里。 </w:t>
      </w:r>
      <w:r>
        <w:rPr>
          <w:rFonts w:hint="eastAsia" w:ascii="宋体" w:hAnsi="宋体" w:eastAsia="宋体" w:cs="宋体"/>
        </w:rPr>
        <w:br w:type="textWrapping"/>
      </w:r>
      <w:r>
        <w:rPr>
          <w:rFonts w:hint="eastAsia" w:ascii="宋体" w:hAnsi="宋体" w:eastAsia="宋体" w:cs="宋体"/>
        </w:rPr>
        <w:t>现状公路技术标准为公路二级标准设计，设计行车时速60公里/小时，路基宽17.5～24米，双向4车道，水泥混凝土路面，工程在原有的公路基础上进行路面改造。</w:t>
      </w:r>
    </w:p>
    <w:p>
      <w:pPr>
        <w:pStyle w:val="3"/>
        <w:widowControl/>
      </w:pPr>
      <w:r>
        <w:rPr>
          <w:rFonts w:hint="eastAsia" w:ascii="宋体" w:hAnsi="宋体" w:eastAsia="宋体" w:cs="宋体"/>
        </w:rPr>
        <w:t>1.2资金来源：已落实</w:t>
      </w:r>
    </w:p>
    <w:p>
      <w:pPr>
        <w:pStyle w:val="3"/>
        <w:widowControl/>
        <w:rPr>
          <w:highlight w:val="none"/>
        </w:rPr>
      </w:pPr>
      <w:r>
        <w:rPr>
          <w:rFonts w:hint="eastAsia" w:ascii="宋体" w:hAnsi="宋体" w:eastAsia="宋体" w:cs="宋体"/>
          <w:highlight w:val="none"/>
        </w:rPr>
        <w:t>1.3采购物资名称：</w:t>
      </w:r>
      <w:r>
        <w:rPr>
          <w:rStyle w:val="6"/>
          <w:rFonts w:hint="eastAsia" w:ascii="宋体" w:hAnsi="宋体" w:eastAsia="宋体" w:cs="宋体"/>
          <w:b/>
          <w:bCs/>
          <w:sz w:val="24"/>
          <w:szCs w:val="24"/>
          <w:highlight w:val="none"/>
          <w:lang w:val="en-US" w:eastAsia="zh-CN"/>
        </w:rPr>
        <w:t>机制砂</w:t>
      </w:r>
      <w:r>
        <w:rPr>
          <w:rFonts w:hint="eastAsia" w:ascii="宋体" w:hAnsi="宋体" w:eastAsia="宋体" w:cs="宋体"/>
          <w:b/>
          <w:bCs/>
          <w:highlight w:val="none"/>
          <w:lang w:val="en-US" w:eastAsia="zh-CN"/>
        </w:rPr>
        <w:t>、</w:t>
      </w:r>
      <w:r>
        <w:rPr>
          <w:rStyle w:val="6"/>
          <w:rFonts w:hint="eastAsia" w:ascii="宋体" w:hAnsi="宋体" w:eastAsia="宋体" w:cs="宋体"/>
          <w:b/>
          <w:bCs/>
          <w:sz w:val="24"/>
          <w:szCs w:val="24"/>
          <w:highlight w:val="none"/>
          <w:lang w:val="en-US" w:eastAsia="zh-CN"/>
        </w:rPr>
        <w:t>碎石、石屑</w:t>
      </w:r>
      <w:r>
        <w:rPr>
          <w:rFonts w:hint="eastAsia" w:ascii="宋体" w:hAnsi="宋体" w:eastAsia="宋体" w:cs="宋体"/>
          <w:b/>
          <w:bCs/>
          <w:highlight w:val="none"/>
        </w:rPr>
        <w:t>（</w:t>
      </w:r>
      <w:r>
        <w:rPr>
          <w:rFonts w:hint="eastAsia" w:ascii="宋体" w:hAnsi="宋体" w:eastAsia="宋体" w:cs="宋体"/>
          <w:highlight w:val="none"/>
        </w:rPr>
        <w:t>详见物资需求一览表）</w:t>
      </w:r>
    </w:p>
    <w:p>
      <w:pPr>
        <w:pStyle w:val="3"/>
        <w:widowControl/>
        <w:rPr>
          <w:highlight w:val="none"/>
        </w:rPr>
      </w:pPr>
      <w:r>
        <w:rPr>
          <w:rStyle w:val="6"/>
          <w:rFonts w:hint="eastAsia" w:ascii="宋体" w:hAnsi="宋体" w:eastAsia="宋体" w:cs="宋体"/>
          <w:highlight w:val="none"/>
        </w:rPr>
        <w:t>2.合格供应商资格要求</w:t>
      </w:r>
    </w:p>
    <w:p>
      <w:pPr>
        <w:tabs>
          <w:tab w:val="left" w:pos="0"/>
        </w:tabs>
        <w:spacing w:line="360" w:lineRule="auto"/>
        <w:jc w:val="left"/>
        <w:rPr>
          <w:rFonts w:ascii="宋体" w:hAnsi="宋体"/>
          <w:b/>
          <w:color w:val="auto"/>
          <w:szCs w:val="21"/>
          <w:highlight w:val="none"/>
        </w:rPr>
      </w:pPr>
      <w:r>
        <w:rPr>
          <w:rFonts w:hint="eastAsia" w:ascii="宋体" w:hAnsi="宋体"/>
          <w:b/>
          <w:color w:val="auto"/>
          <w:szCs w:val="21"/>
          <w:highlight w:val="none"/>
          <w:lang w:val="en-US" w:eastAsia="zh-CN"/>
        </w:rPr>
        <w:t>机制</w:t>
      </w:r>
      <w:r>
        <w:rPr>
          <w:rFonts w:hint="eastAsia" w:ascii="宋体" w:hAnsi="宋体"/>
          <w:b/>
          <w:color w:val="auto"/>
          <w:szCs w:val="21"/>
          <w:highlight w:val="none"/>
        </w:rPr>
        <w:t>砂：</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1)营业范围要求：在中华人民共和国境内依法注册、具有法人资格、具有谈判材料经营、生产供应经验的生产商或代理商，符合谈判项目经营范围，能独立承担民事责任的法人。</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2)供货能力要求：要有组织、运输，装卸能力，必须具备5000吨以上的备货场地。代理商须提供与机制砂生产商签署的授权代理授权函，确认向本项目提供的谈判物资质量、数量及供货时间满足谈判人的需要。</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3)财务能力要求：生产商注册资金不低于500万元人民币，代理商注册资本金不低于100万元，有良好的银行信誉、充足的资金保证。</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4)质量保证能力要求：质量必须符合国家或行业最新质量标准；有地市级质检部门出具的按国家规定的标准检测和检验合格的相关报告。</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5）供货业绩要求：供应商需提供相关工程供货业绩，并提供相关证明材料（中标通知书复印件或供货合同复印件等）；生产商无不良产品质量记录。</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6）履约信用要求：谈判人必须具有良好的社会信誉，最近两年内没有与骗取合同有关的犯罪或严重违法行为而引起的诉讼和仲裁；近两年不曾在合同中严重违约或被逐；财产未被接管或冻结，企业未处于禁止或取消谈判状态。</w:t>
      </w:r>
    </w:p>
    <w:p>
      <w:pPr>
        <w:tabs>
          <w:tab w:val="left" w:pos="0"/>
        </w:tabs>
        <w:spacing w:line="360" w:lineRule="auto"/>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碎石：</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1)营业范围要求：在中华人民共和国境内依法注册、具有法人资格、具有谈判材料经营、生产供应经验的生产商或代理商，符合谈判项目经营范围，能独立承担民事责任的法人。</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2)供货能力要求：要有组织、运输，装卸能力，必须具备5000吨以上的备货场地。经销商须提供与生产商签署的授权代理授权函，确认向本项目提供的谈判物资质量、数量及供货时间满足谈判人的需要。</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3)财务能力要求：生产商注册资金不低于500万元人民币，经销商注册资本金不低于100万元，有良好的银行信誉、充足的资金保证。</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4)质量保证能力要求：质量必须符合国家或行业最新质量标准；有地市级或以上专业检测机构质检部门出具的按国家规定的标准检测和检验合格的相关报告。</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5）供货业绩要求：供应商需提供相关工程供货业绩，并提供相关证明材料（中标通知书复印件或供货合同复印件等）；生产商无不良产品质量记录。</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6）履约信用要求：谈判人必须具有良好的社会信誉，最近两年内没有与骗取合同有关的犯罪或严重违法行为而引起的诉讼和仲裁；近两年不曾在合同中严重违约或被逐；财产未被接管或冻结，企业未处于禁止或取消谈判状态。</w:t>
      </w:r>
    </w:p>
    <w:p>
      <w:pPr>
        <w:pStyle w:val="2"/>
        <w:rPr>
          <w:rFonts w:hint="eastAsia" w:ascii="宋体" w:hAnsi="宋体" w:eastAsia="宋体" w:cs="宋体"/>
          <w:b w:val="0"/>
          <w:bCs/>
          <w:kern w:val="0"/>
          <w:sz w:val="24"/>
          <w:szCs w:val="24"/>
          <w:highlight w:val="none"/>
          <w:lang w:val="en-US" w:eastAsia="zh-CN" w:bidi="ar-SA"/>
        </w:rPr>
      </w:pPr>
      <w:r>
        <w:rPr>
          <w:rFonts w:hint="eastAsia" w:ascii="宋体" w:hAnsi="宋体" w:eastAsia="宋体" w:cs="宋体"/>
          <w:b w:val="0"/>
          <w:bCs/>
          <w:kern w:val="0"/>
          <w:sz w:val="24"/>
          <w:szCs w:val="24"/>
          <w:highlight w:val="none"/>
          <w:lang w:val="en-US" w:eastAsia="zh-CN" w:bidi="ar-SA"/>
        </w:rPr>
        <w:t>石屑</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1）营业范围要求：在中华人民共和国境内依法注册、具有法人资格、具有谈判材料经营、生产供应经验的生产商或代理商，符合谈判项目经营范围，能独立承担民事责任的法人。</w:t>
      </w:r>
    </w:p>
    <w:p>
      <w:pPr>
        <w:pStyle w:val="3"/>
        <w:keepNext w:val="0"/>
        <w:keepLines w:val="0"/>
        <w:widowControl/>
        <w:suppressLineNumbers w:val="0"/>
        <w:spacing w:before="0" w:beforeAutospacing="0" w:after="0" w:afterAutospacing="0" w:line="360" w:lineRule="auto"/>
        <w:ind w:left="0" w:right="0" w:firstLine="480"/>
        <w:jc w:val="left"/>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2供货能力：要有组织、运输、专用卸货，二次倒运组织能力，经销商理商须提供与生产商签署的授权代理的授权函。</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3）财务能力：生产商注册资金不低于500万元人民币，经销商注册资本金不低于100万元，有良好的银行信誉、充足的资金保证。</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4）质量保证能力：质量必须符合国家或行业最新质量标准；有地市级质检部门出具的按国家规定的标准检测和检验合格的相关报告。</w:t>
      </w:r>
    </w:p>
    <w:p>
      <w:pPr>
        <w:spacing w:line="360" w:lineRule="auto"/>
        <w:ind w:firstLine="480" w:firstLineChars="200"/>
        <w:jc w:val="left"/>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5）供货业绩：近二年内具有投标产品国家大中型建设项目或铁路重点工程供货业绩和履约良好的相关证明材料至少两份。</w:t>
      </w:r>
    </w:p>
    <w:p>
      <w:pPr>
        <w:spacing w:line="360" w:lineRule="auto"/>
        <w:ind w:firstLine="480" w:firstLineChars="200"/>
        <w:jc w:val="left"/>
        <w:rPr>
          <w:highlight w:val="none"/>
        </w:rPr>
      </w:pPr>
      <w:r>
        <w:rPr>
          <w:rFonts w:hint="eastAsia" w:ascii="宋体" w:hAnsi="宋体" w:eastAsia="宋体" w:cs="宋体"/>
          <w:kern w:val="0"/>
          <w:sz w:val="24"/>
          <w:szCs w:val="24"/>
          <w:highlight w:val="none"/>
          <w:lang w:val="en-US" w:eastAsia="zh-CN" w:bidi="ar-SA"/>
        </w:rPr>
        <w:t>6）履约信用要求：谈判人必须具有良好的社会信誉，最近两年内没有与骗取合同有关的犯罪或严重违法行为而引起的诉讼和仲裁；近两年不曾在合同中严重违约或被逐；财产未被接管或冻结，企业未处于禁止或取消谈判状态。</w:t>
      </w:r>
      <w:r>
        <w:rPr>
          <w:rFonts w:hint="eastAsia" w:ascii="宋体" w:hAnsi="宋体" w:eastAsia="宋体" w:cs="宋体"/>
          <w:kern w:val="0"/>
          <w:sz w:val="24"/>
          <w:szCs w:val="24"/>
          <w:highlight w:val="none"/>
          <w:lang w:val="en-US" w:eastAsia="zh-CN" w:bidi="ar-SA"/>
        </w:rPr>
        <w:br w:type="textWrapping"/>
      </w:r>
      <w:r>
        <w:rPr>
          <w:rStyle w:val="6"/>
          <w:rFonts w:hint="eastAsia" w:ascii="宋体" w:hAnsi="宋体" w:eastAsia="宋体" w:cs="宋体"/>
          <w:highlight w:val="none"/>
        </w:rPr>
        <w:t>3、发布公告媒介</w:t>
      </w:r>
    </w:p>
    <w:p>
      <w:pPr>
        <w:pStyle w:val="3"/>
        <w:widowControl/>
        <w:spacing w:line="360" w:lineRule="auto"/>
        <w:rPr>
          <w:highlight w:val="none"/>
        </w:rPr>
      </w:pPr>
      <w:r>
        <w:rPr>
          <w:rFonts w:hint="eastAsia" w:ascii="宋体" w:hAnsi="宋体" w:eastAsia="宋体" w:cs="宋体"/>
          <w:highlight w:val="none"/>
        </w:rPr>
        <w:t>本次谈判公告在铁建汇采工程物资设备电商平台（</w:t>
      </w:r>
      <w:r>
        <w:rPr>
          <w:highlight w:val="none"/>
        </w:rPr>
        <w:fldChar w:fldCharType="begin"/>
      </w:r>
      <w:r>
        <w:rPr>
          <w:highlight w:val="none"/>
        </w:rPr>
        <w:instrText xml:space="preserve"> HYPERLINK "http://www.crcchc.com/" </w:instrText>
      </w:r>
      <w:r>
        <w:rPr>
          <w:highlight w:val="none"/>
        </w:rPr>
        <w:fldChar w:fldCharType="separate"/>
      </w:r>
      <w:r>
        <w:rPr>
          <w:rStyle w:val="13"/>
          <w:rFonts w:hint="eastAsia" w:ascii="宋体" w:hAnsi="宋体" w:eastAsia="宋体" w:cs="宋体"/>
          <w:highlight w:val="none"/>
        </w:rPr>
        <w:t>http://www.crcchc.com</w:t>
      </w:r>
      <w:r>
        <w:rPr>
          <w:rStyle w:val="13"/>
          <w:rFonts w:hint="eastAsia" w:ascii="宋体" w:hAnsi="宋体" w:eastAsia="宋体" w:cs="宋体"/>
          <w:highlight w:val="none"/>
        </w:rPr>
        <w:fldChar w:fldCharType="end"/>
      </w:r>
      <w:r>
        <w:rPr>
          <w:rFonts w:hint="eastAsia" w:ascii="宋体" w:hAnsi="宋体" w:eastAsia="宋体" w:cs="宋体"/>
          <w:highlight w:val="none"/>
        </w:rPr>
        <w:t>）公开发布。</w:t>
      </w:r>
    </w:p>
    <w:p>
      <w:pPr>
        <w:pStyle w:val="3"/>
        <w:widowControl/>
        <w:spacing w:line="360" w:lineRule="auto"/>
        <w:rPr>
          <w:highlight w:val="none"/>
        </w:rPr>
      </w:pPr>
      <w:r>
        <w:rPr>
          <w:rStyle w:val="6"/>
          <w:rFonts w:hint="eastAsia" w:ascii="宋体" w:hAnsi="宋体" w:eastAsia="宋体" w:cs="宋体"/>
          <w:highlight w:val="none"/>
        </w:rPr>
        <w:t>4、采购文件获取及谈判保证金的递交</w:t>
      </w:r>
    </w:p>
    <w:p>
      <w:pPr>
        <w:pStyle w:val="3"/>
        <w:widowControl/>
        <w:spacing w:line="360" w:lineRule="auto"/>
        <w:rPr>
          <w:highlight w:val="none"/>
        </w:rPr>
      </w:pPr>
      <w:r>
        <w:rPr>
          <w:rFonts w:hint="eastAsia" w:ascii="宋体" w:hAnsi="宋体" w:eastAsia="宋体" w:cs="宋体"/>
          <w:highlight w:val="none"/>
        </w:rPr>
        <w:t>4.1购买竞争性谈判文件需在202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1</w:t>
      </w:r>
      <w:r>
        <w:rPr>
          <w:rFonts w:hint="eastAsia" w:ascii="宋体" w:hAnsi="宋体" w:eastAsia="宋体" w:cs="宋体"/>
          <w:highlight w:val="none"/>
        </w:rPr>
        <w:t>月</w:t>
      </w:r>
      <w:r>
        <w:rPr>
          <w:rFonts w:hint="eastAsia" w:ascii="宋体" w:hAnsi="宋体" w:eastAsia="宋体" w:cs="宋体"/>
          <w:highlight w:val="none"/>
          <w:lang w:val="en-US" w:eastAsia="zh-CN"/>
        </w:rPr>
        <w:t>28</w:t>
      </w:r>
      <w:r>
        <w:rPr>
          <w:rFonts w:hint="eastAsia" w:ascii="宋体" w:hAnsi="宋体" w:eastAsia="宋体" w:cs="宋体"/>
          <w:highlight w:val="none"/>
        </w:rPr>
        <w:t>日至202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日期间将投标保证金打入本次招投标资金账户</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本次投标过程中不收取标书费</w:t>
      </w:r>
      <w:r>
        <w:rPr>
          <w:rFonts w:hint="eastAsia" w:ascii="宋体" w:hAnsi="宋体" w:eastAsia="宋体" w:cs="宋体"/>
          <w:highlight w:val="none"/>
        </w:rPr>
        <w:t>（必须为报名表投标单位账户汇入，个人账户及其他单位账户不予受理），并于上述日期内填写投标报名表、企业资质（加盖公章）、打款凭证扫描件（注明:15局4公司金龙大道招标文件款）发送至邮箱</w:t>
      </w:r>
      <w:r>
        <w:rPr>
          <w:highlight w:val="none"/>
        </w:rPr>
        <w:fldChar w:fldCharType="begin"/>
      </w:r>
      <w:r>
        <w:rPr>
          <w:highlight w:val="none"/>
        </w:rPr>
        <w:instrText xml:space="preserve"> HYPERLINK "mailto:904675848@qq.com" </w:instrText>
      </w:r>
      <w:r>
        <w:rPr>
          <w:highlight w:val="none"/>
        </w:rPr>
        <w:fldChar w:fldCharType="separate"/>
      </w:r>
      <w:r>
        <w:rPr>
          <w:rStyle w:val="13"/>
          <w:rFonts w:hint="eastAsia" w:ascii="宋体" w:hAnsi="宋体" w:eastAsia="宋体" w:cs="宋体"/>
          <w:highlight w:val="none"/>
        </w:rPr>
        <w:t>904675848@qq.com</w:t>
      </w:r>
      <w:r>
        <w:rPr>
          <w:rStyle w:val="13"/>
          <w:rFonts w:hint="eastAsia" w:ascii="宋体" w:hAnsi="宋体" w:eastAsia="宋体" w:cs="宋体"/>
          <w:highlight w:val="none"/>
        </w:rPr>
        <w:fldChar w:fldCharType="end"/>
      </w:r>
    </w:p>
    <w:p>
      <w:pPr>
        <w:pStyle w:val="3"/>
        <w:widowControl/>
        <w:spacing w:line="360" w:lineRule="auto"/>
        <w:rPr>
          <w:highlight w:val="none"/>
        </w:rPr>
      </w:pPr>
      <w:r>
        <w:rPr>
          <w:rFonts w:hint="eastAsia" w:ascii="宋体" w:hAnsi="宋体" w:eastAsia="宋体" w:cs="宋体"/>
          <w:highlight w:val="none"/>
        </w:rPr>
        <w:t>我们核实后以电子邮件方式将所需资料发送给投标人。</w:t>
      </w:r>
    </w:p>
    <w:p>
      <w:pPr>
        <w:pStyle w:val="3"/>
        <w:widowControl/>
        <w:spacing w:line="360" w:lineRule="auto"/>
        <w:rPr>
          <w:highlight w:val="none"/>
        </w:rPr>
      </w:pPr>
      <w:r>
        <w:rPr>
          <w:rFonts w:hint="eastAsia" w:ascii="宋体" w:hAnsi="宋体" w:eastAsia="宋体" w:cs="宋体"/>
          <w:highlight w:val="none"/>
        </w:rPr>
        <w:t>4.2报名成功后请与202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val="en-US" w:eastAsia="zh-CN"/>
        </w:rPr>
        <w:t>上</w:t>
      </w:r>
      <w:r>
        <w:rPr>
          <w:rFonts w:hint="eastAsia" w:ascii="宋体" w:hAnsi="宋体" w:eastAsia="宋体" w:cs="宋体"/>
          <w:highlight w:val="none"/>
        </w:rPr>
        <w:t>午</w:t>
      </w:r>
      <w:r>
        <w:rPr>
          <w:rFonts w:hint="eastAsia" w:ascii="宋体" w:hAnsi="宋体" w:eastAsia="宋体" w:cs="宋体"/>
          <w:highlight w:val="none"/>
          <w:lang w:val="en-US" w:eastAsia="zh-CN"/>
        </w:rPr>
        <w:t>10</w:t>
      </w:r>
      <w:r>
        <w:rPr>
          <w:rFonts w:hint="eastAsia" w:ascii="宋体" w:hAnsi="宋体" w:eastAsia="宋体" w:cs="宋体"/>
          <w:highlight w:val="none"/>
        </w:rPr>
        <w:t>点前</w:t>
      </w:r>
      <w:r>
        <w:rPr>
          <w:rFonts w:hint="eastAsia" w:ascii="宋体" w:hAnsi="宋体" w:eastAsia="宋体" w:cs="宋体"/>
          <w:highlight w:val="none"/>
          <w:lang w:val="en-US" w:eastAsia="zh-CN"/>
        </w:rPr>
        <w:t>将</w:t>
      </w:r>
      <w:r>
        <w:rPr>
          <w:rFonts w:hint="eastAsia" w:ascii="宋体" w:hAnsi="宋体" w:eastAsia="宋体" w:cs="宋体"/>
          <w:highlight w:val="none"/>
        </w:rPr>
        <w:t>投标保证金打入本次投标资金账户（必须为报名表投标单位账户汇入，个人账户及其他单位账户汇入不予受理），过期视为放弃投标。</w:t>
      </w:r>
      <w:r>
        <w:rPr>
          <w:rFonts w:hint="eastAsia" w:ascii="宋体" w:hAnsi="宋体" w:eastAsia="宋体" w:cs="宋体"/>
          <w:highlight w:val="none"/>
          <w:lang w:val="en-US" w:eastAsia="zh-CN"/>
        </w:rPr>
        <w:t>石屑、碎石、机制砂共50000元，</w:t>
      </w:r>
      <w:r>
        <w:rPr>
          <w:rFonts w:hint="eastAsia" w:ascii="宋体" w:hAnsi="宋体" w:eastAsia="宋体" w:cs="宋体"/>
          <w:highlight w:val="none"/>
        </w:rPr>
        <w:t>投标保证金在合同签订后按规定退还。</w:t>
      </w:r>
    </w:p>
    <w:p>
      <w:pPr>
        <w:pStyle w:val="3"/>
        <w:widowControl/>
        <w:spacing w:line="360" w:lineRule="auto"/>
        <w:rPr>
          <w:highlight w:val="none"/>
        </w:rPr>
      </w:pPr>
      <w:r>
        <w:rPr>
          <w:rFonts w:hint="eastAsia" w:ascii="宋体" w:hAnsi="宋体" w:eastAsia="宋体" w:cs="宋体"/>
          <w:highlight w:val="none"/>
        </w:rPr>
        <w:t>本次招标的资金账户信息如下：</w:t>
      </w:r>
    </w:p>
    <w:p>
      <w:pPr>
        <w:pStyle w:val="3"/>
        <w:widowControl/>
        <w:spacing w:line="360" w:lineRule="auto"/>
        <w:rPr>
          <w:highlight w:val="none"/>
        </w:rPr>
      </w:pPr>
      <w:r>
        <w:rPr>
          <w:rFonts w:hint="eastAsia" w:ascii="宋体" w:hAnsi="宋体" w:eastAsia="宋体" w:cs="宋体"/>
          <w:highlight w:val="none"/>
        </w:rPr>
        <w:t>户名：中铁十五局四公司金龙大道路面改造工程项目经理部</w:t>
      </w:r>
    </w:p>
    <w:p>
      <w:pPr>
        <w:pStyle w:val="3"/>
        <w:widowControl/>
        <w:spacing w:line="360" w:lineRule="auto"/>
        <w:rPr>
          <w:highlight w:val="none"/>
        </w:rPr>
      </w:pPr>
      <w:r>
        <w:rPr>
          <w:rFonts w:hint="eastAsia" w:ascii="宋体" w:hAnsi="宋体" w:eastAsia="宋体" w:cs="宋体"/>
          <w:highlight w:val="none"/>
        </w:rPr>
        <w:t xml:space="preserve">账号：9961 0150 1015 0074 6249 </w:t>
      </w:r>
    </w:p>
    <w:p>
      <w:pPr>
        <w:pStyle w:val="3"/>
        <w:widowControl/>
        <w:spacing w:line="360" w:lineRule="auto"/>
        <w:rPr>
          <w:highlight w:val="none"/>
        </w:rPr>
      </w:pPr>
      <w:r>
        <w:rPr>
          <w:rFonts w:hint="eastAsia" w:ascii="宋体" w:hAnsi="宋体" w:eastAsia="宋体" w:cs="宋体"/>
          <w:highlight w:val="none"/>
        </w:rPr>
        <w:t>开户行：交通银行北京西区支行</w:t>
      </w:r>
    </w:p>
    <w:p>
      <w:pPr>
        <w:pStyle w:val="3"/>
        <w:widowControl/>
        <w:spacing w:line="360" w:lineRule="auto"/>
        <w:rPr>
          <w:highlight w:val="none"/>
        </w:rPr>
      </w:pPr>
      <w:r>
        <w:rPr>
          <w:rFonts w:hint="eastAsia" w:ascii="宋体" w:hAnsi="宋体" w:eastAsia="宋体" w:cs="宋体"/>
          <w:highlight w:val="none"/>
        </w:rPr>
        <w:t>4.3购买采购文件截止时间：202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val="en-US" w:eastAsia="zh-CN"/>
        </w:rPr>
        <w:t>上午12</w:t>
      </w:r>
      <w:r>
        <w:rPr>
          <w:rFonts w:hint="eastAsia" w:ascii="宋体" w:hAnsi="宋体" w:eastAsia="宋体" w:cs="宋体"/>
          <w:highlight w:val="none"/>
        </w:rPr>
        <w:t>点整（北京时间）</w:t>
      </w:r>
      <w:bookmarkStart w:id="0" w:name="_GoBack"/>
      <w:bookmarkEnd w:id="0"/>
    </w:p>
    <w:p>
      <w:pPr>
        <w:pStyle w:val="3"/>
        <w:widowControl/>
        <w:spacing w:line="360" w:lineRule="auto"/>
        <w:rPr>
          <w:highlight w:val="none"/>
        </w:rPr>
      </w:pPr>
      <w:r>
        <w:rPr>
          <w:rFonts w:hint="eastAsia" w:ascii="宋体" w:hAnsi="宋体" w:eastAsia="宋体" w:cs="宋体"/>
          <w:highlight w:val="none"/>
        </w:rPr>
        <w:t>4.4谈判文件递交时间：202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val="en-US" w:eastAsia="zh-CN"/>
        </w:rPr>
        <w:t>下</w:t>
      </w:r>
      <w:r>
        <w:rPr>
          <w:rFonts w:hint="eastAsia" w:ascii="宋体" w:hAnsi="宋体" w:eastAsia="宋体" w:cs="宋体"/>
          <w:highlight w:val="none"/>
        </w:rPr>
        <w:t>午</w:t>
      </w:r>
      <w:r>
        <w:rPr>
          <w:rFonts w:hint="eastAsia" w:ascii="宋体" w:hAnsi="宋体" w:eastAsia="宋体" w:cs="宋体"/>
          <w:highlight w:val="none"/>
          <w:lang w:val="en-US" w:eastAsia="zh-CN"/>
        </w:rPr>
        <w:t>14</w:t>
      </w:r>
      <w:r>
        <w:rPr>
          <w:rFonts w:hint="eastAsia" w:ascii="宋体" w:hAnsi="宋体" w:eastAsia="宋体" w:cs="宋体"/>
          <w:highlight w:val="none"/>
        </w:rPr>
        <w:t>：30-</w:t>
      </w:r>
      <w:r>
        <w:rPr>
          <w:rFonts w:hint="eastAsia" w:ascii="宋体" w:hAnsi="宋体" w:eastAsia="宋体" w:cs="宋体"/>
          <w:highlight w:val="none"/>
          <w:lang w:val="en-US" w:eastAsia="zh-CN"/>
        </w:rPr>
        <w:t>15</w:t>
      </w:r>
      <w:r>
        <w:rPr>
          <w:rFonts w:hint="eastAsia" w:ascii="宋体" w:hAnsi="宋体" w:eastAsia="宋体" w:cs="宋体"/>
          <w:highlight w:val="none"/>
        </w:rPr>
        <w:t>：00（北京时间）</w:t>
      </w:r>
    </w:p>
    <w:p>
      <w:pPr>
        <w:pStyle w:val="3"/>
        <w:widowControl/>
        <w:spacing w:line="360" w:lineRule="auto"/>
        <w:rPr>
          <w:highlight w:val="none"/>
        </w:rPr>
      </w:pPr>
      <w:r>
        <w:rPr>
          <w:rFonts w:hint="eastAsia" w:ascii="宋体" w:hAnsi="宋体" w:eastAsia="宋体" w:cs="宋体"/>
          <w:highlight w:val="none"/>
        </w:rPr>
        <w:t>4.5谈判文件递交地点：广东省惠州市博罗县杨村镇星腾工业园内中铁十五局金龙大道路面改造工程项目部会议室</w:t>
      </w:r>
    </w:p>
    <w:p>
      <w:pPr>
        <w:pStyle w:val="3"/>
        <w:widowControl/>
        <w:spacing w:line="360" w:lineRule="auto"/>
        <w:rPr>
          <w:highlight w:val="none"/>
        </w:rPr>
      </w:pPr>
      <w:r>
        <w:rPr>
          <w:rFonts w:hint="eastAsia" w:ascii="宋体" w:hAnsi="宋体" w:eastAsia="宋体" w:cs="宋体"/>
          <w:highlight w:val="none"/>
        </w:rPr>
        <w:t>4.6谈判时间：202</w:t>
      </w:r>
      <w:r>
        <w:rPr>
          <w:rFonts w:hint="eastAsia" w:ascii="宋体" w:hAnsi="宋体" w:eastAsia="宋体" w:cs="宋体"/>
          <w:highlight w:val="none"/>
          <w:lang w:val="en-US" w:eastAsia="zh-CN"/>
        </w:rPr>
        <w:t>1</w:t>
      </w:r>
      <w:r>
        <w:rPr>
          <w:rFonts w:hint="eastAsia" w:ascii="宋体" w:hAnsi="宋体" w:eastAsia="宋体" w:cs="宋体"/>
          <w:highlight w:val="none"/>
        </w:rPr>
        <w:t>年</w:t>
      </w:r>
      <w:r>
        <w:rPr>
          <w:rFonts w:hint="eastAsia" w:ascii="宋体" w:hAnsi="宋体" w:eastAsia="宋体" w:cs="宋体"/>
          <w:highlight w:val="none"/>
          <w:lang w:val="en-US" w:eastAsia="zh-CN"/>
        </w:rPr>
        <w:t>2</w:t>
      </w:r>
      <w:r>
        <w:rPr>
          <w:rFonts w:hint="eastAsia" w:ascii="宋体" w:hAnsi="宋体" w:eastAsia="宋体" w:cs="宋体"/>
          <w:highlight w:val="none"/>
        </w:rPr>
        <w:t>月</w:t>
      </w:r>
      <w:r>
        <w:rPr>
          <w:rFonts w:hint="eastAsia" w:ascii="宋体" w:hAnsi="宋体" w:eastAsia="宋体" w:cs="宋体"/>
          <w:highlight w:val="none"/>
          <w:lang w:val="en-US" w:eastAsia="zh-CN"/>
        </w:rPr>
        <w:t>1</w:t>
      </w:r>
      <w:r>
        <w:rPr>
          <w:rFonts w:hint="eastAsia" w:ascii="宋体" w:hAnsi="宋体" w:eastAsia="宋体" w:cs="宋体"/>
          <w:highlight w:val="none"/>
        </w:rPr>
        <w:t>日</w:t>
      </w:r>
      <w:r>
        <w:rPr>
          <w:rFonts w:hint="eastAsia" w:ascii="宋体" w:hAnsi="宋体" w:eastAsia="宋体" w:cs="宋体"/>
          <w:highlight w:val="none"/>
          <w:lang w:val="en-US" w:eastAsia="zh-CN"/>
        </w:rPr>
        <w:t>下</w:t>
      </w:r>
      <w:r>
        <w:rPr>
          <w:rFonts w:hint="eastAsia" w:ascii="宋体" w:hAnsi="宋体" w:eastAsia="宋体" w:cs="宋体"/>
          <w:highlight w:val="none"/>
        </w:rPr>
        <w:t>午</w:t>
      </w:r>
      <w:r>
        <w:rPr>
          <w:rFonts w:hint="eastAsia" w:ascii="宋体" w:hAnsi="宋体" w:eastAsia="宋体" w:cs="宋体"/>
          <w:highlight w:val="none"/>
          <w:lang w:val="en-US" w:eastAsia="zh-CN"/>
        </w:rPr>
        <w:t>15</w:t>
      </w:r>
      <w:r>
        <w:rPr>
          <w:rFonts w:hint="eastAsia" w:ascii="宋体" w:hAnsi="宋体" w:eastAsia="宋体" w:cs="宋体"/>
          <w:highlight w:val="none"/>
        </w:rPr>
        <w:t>：00</w:t>
      </w:r>
      <w:r>
        <w:rPr>
          <w:rFonts w:hint="eastAsia" w:ascii="宋体" w:hAnsi="宋体" w:eastAsia="宋体" w:cs="宋体"/>
          <w:highlight w:val="none"/>
        </w:rPr>
        <w:t>（北京时间）</w:t>
      </w:r>
    </w:p>
    <w:p>
      <w:pPr>
        <w:pStyle w:val="3"/>
        <w:widowControl/>
        <w:spacing w:line="360" w:lineRule="auto"/>
        <w:rPr>
          <w:highlight w:val="none"/>
        </w:rPr>
      </w:pPr>
      <w:r>
        <w:rPr>
          <w:rFonts w:hint="eastAsia" w:ascii="宋体" w:hAnsi="宋体" w:eastAsia="宋体" w:cs="宋体"/>
          <w:highlight w:val="none"/>
        </w:rPr>
        <w:t>4.7谈判地点：广东省惠州市博罗县杨村镇星腾工业园内中铁十五局金龙大道路面改造工程项目部会议室。</w:t>
      </w:r>
    </w:p>
    <w:p>
      <w:pPr>
        <w:pStyle w:val="3"/>
        <w:widowControl/>
        <w:spacing w:line="360" w:lineRule="auto"/>
        <w:rPr>
          <w:highlight w:val="none"/>
        </w:rPr>
      </w:pPr>
      <w:r>
        <w:rPr>
          <w:rStyle w:val="6"/>
          <w:rFonts w:hint="eastAsia" w:ascii="宋体" w:hAnsi="宋体" w:eastAsia="宋体" w:cs="宋体"/>
          <w:highlight w:val="none"/>
        </w:rPr>
        <w:t>5、采购人、购买采购文件、投（开）标，现场技术咨询（答疑）地址及联系人信息</w:t>
      </w:r>
    </w:p>
    <w:p>
      <w:pPr>
        <w:pStyle w:val="3"/>
        <w:widowControl/>
        <w:spacing w:line="360" w:lineRule="auto"/>
        <w:rPr>
          <w:highlight w:val="none"/>
        </w:rPr>
      </w:pPr>
      <w:r>
        <w:rPr>
          <w:rFonts w:hint="eastAsia" w:ascii="宋体" w:hAnsi="宋体" w:eastAsia="宋体" w:cs="宋体"/>
          <w:highlight w:val="none"/>
        </w:rPr>
        <w:t>采购人：中铁十五局集团第四工程有限公司金龙大道路面改造工程项目经理部</w:t>
      </w:r>
    </w:p>
    <w:p>
      <w:pPr>
        <w:pStyle w:val="3"/>
        <w:widowControl/>
        <w:spacing w:line="360" w:lineRule="auto"/>
        <w:rPr>
          <w:highlight w:val="none"/>
        </w:rPr>
      </w:pPr>
      <w:r>
        <w:rPr>
          <w:rFonts w:hint="eastAsia" w:ascii="宋体" w:hAnsi="宋体" w:eastAsia="宋体" w:cs="宋体"/>
          <w:highlight w:val="none"/>
        </w:rPr>
        <w:t>联系人：殷勇   电话：18112590628</w:t>
      </w:r>
    </w:p>
    <w:p>
      <w:pPr>
        <w:pStyle w:val="3"/>
        <w:widowControl/>
        <w:spacing w:line="360" w:lineRule="auto"/>
        <w:rPr>
          <w:rFonts w:ascii="宋体" w:hAnsi="宋体" w:eastAsia="宋体" w:cs="宋体"/>
          <w:highlight w:val="none"/>
        </w:rPr>
      </w:pPr>
      <w:r>
        <w:rPr>
          <w:rFonts w:hint="eastAsia" w:ascii="宋体" w:hAnsi="宋体" w:eastAsia="宋体" w:cs="宋体"/>
          <w:highlight w:val="none"/>
        </w:rPr>
        <w:t>地址：广东省惠州市博罗县金龙大道路面改造工程项目经理部</w:t>
      </w:r>
    </w:p>
    <w:tbl>
      <w:tblPr>
        <w:tblStyle w:val="4"/>
        <w:tblW w:w="10480" w:type="dxa"/>
        <w:jc w:val="center"/>
        <w:tblLayout w:type="fixed"/>
        <w:tblCellMar>
          <w:top w:w="0" w:type="dxa"/>
          <w:left w:w="0" w:type="dxa"/>
          <w:bottom w:w="0" w:type="dxa"/>
          <w:right w:w="0" w:type="dxa"/>
        </w:tblCellMar>
      </w:tblPr>
      <w:tblGrid>
        <w:gridCol w:w="2440"/>
        <w:gridCol w:w="2500"/>
        <w:gridCol w:w="692"/>
        <w:gridCol w:w="1408"/>
        <w:gridCol w:w="1017"/>
        <w:gridCol w:w="2423"/>
      </w:tblGrid>
      <w:tr>
        <w:tblPrEx>
          <w:tblCellMar>
            <w:top w:w="0" w:type="dxa"/>
            <w:left w:w="0" w:type="dxa"/>
            <w:bottom w:w="0" w:type="dxa"/>
            <w:right w:w="0" w:type="dxa"/>
          </w:tblCellMar>
        </w:tblPrEx>
        <w:trPr>
          <w:trHeight w:val="1236" w:hRule="atLeast"/>
          <w:jc w:val="center"/>
        </w:trPr>
        <w:tc>
          <w:tcPr>
            <w:tcW w:w="10480" w:type="dxa"/>
            <w:gridSpan w:val="6"/>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rPr>
                <w:rFonts w:ascii="宋体" w:hAnsi="宋体" w:eastAsia="宋体" w:cs="宋体"/>
                <w:color w:val="000000"/>
                <w:sz w:val="32"/>
                <w:szCs w:val="32"/>
                <w:highlight w:val="none"/>
              </w:rPr>
            </w:pPr>
          </w:p>
          <w:p>
            <w:pPr>
              <w:pStyle w:val="3"/>
              <w:widowControl/>
              <w:spacing w:beforeAutospacing="0" w:afterAutospacing="0" w:line="315" w:lineRule="atLeast"/>
              <w:rPr>
                <w:highlight w:val="none"/>
              </w:rPr>
            </w:pPr>
            <w:r>
              <w:rPr>
                <w:rFonts w:hint="eastAsia" w:ascii="宋体" w:hAnsi="宋体" w:eastAsia="宋体" w:cs="宋体"/>
                <w:color w:val="000000"/>
                <w:sz w:val="32"/>
                <w:szCs w:val="32"/>
                <w:highlight w:val="none"/>
              </w:rPr>
              <w:t>附件一：</w:t>
            </w:r>
          </w:p>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sz w:val="32"/>
                <w:szCs w:val="32"/>
                <w:highlight w:val="none"/>
              </w:rPr>
              <w:t>谈判报名表</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谈判项目名称</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物资名称</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谈判文件谈判编号</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包件号</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谈判人单位名称：</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xml:space="preserve">（填写单位名称）（盖单位公章）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联系人</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手机</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办公电话</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办公传真</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电子邮箱</w:t>
            </w:r>
          </w:p>
        </w:tc>
        <w:tc>
          <w:tcPr>
            <w:tcW w:w="25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c>
          <w:tcPr>
            <w:tcW w:w="2100"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邮编</w:t>
            </w:r>
          </w:p>
        </w:tc>
        <w:tc>
          <w:tcPr>
            <w:tcW w:w="344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邮寄地址</w:t>
            </w:r>
          </w:p>
        </w:tc>
        <w:tc>
          <w:tcPr>
            <w:tcW w:w="8040"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1409"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声明</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谈判文件为我公司自愿购买，如我公司资格条件不符合本项目谈判人资格要求，相关责任由我公司自行承担。</w:t>
            </w:r>
          </w:p>
        </w:tc>
      </w:tr>
      <w:tr>
        <w:tblPrEx>
          <w:tblCellMar>
            <w:top w:w="0" w:type="dxa"/>
            <w:left w:w="0" w:type="dxa"/>
            <w:bottom w:w="0" w:type="dxa"/>
            <w:right w:w="0" w:type="dxa"/>
          </w:tblCellMar>
        </w:tblPrEx>
        <w:trPr>
          <w:trHeight w:val="856" w:hRule="atLeast"/>
          <w:jc w:val="center"/>
        </w:trPr>
        <w:tc>
          <w:tcPr>
            <w:tcW w:w="2440" w:type="dxa"/>
            <w:vMerge w:val="restart"/>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购买人签字</w:t>
            </w:r>
          </w:p>
        </w:tc>
        <w:tc>
          <w:tcPr>
            <w:tcW w:w="8040" w:type="dxa"/>
            <w:gridSpan w:val="5"/>
            <w:tcBorders>
              <w:top w:val="nil"/>
              <w:left w:val="nil"/>
              <w:bottom w:val="nil"/>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　</w:t>
            </w:r>
          </w:p>
        </w:tc>
      </w:tr>
      <w:tr>
        <w:tblPrEx>
          <w:tblCellMar>
            <w:top w:w="0" w:type="dxa"/>
            <w:left w:w="0" w:type="dxa"/>
            <w:bottom w:w="0" w:type="dxa"/>
            <w:right w:w="0" w:type="dxa"/>
          </w:tblCellMar>
        </w:tblPrEx>
        <w:trPr>
          <w:trHeight w:val="856" w:hRule="atLeast"/>
          <w:jc w:val="center"/>
        </w:trPr>
        <w:tc>
          <w:tcPr>
            <w:tcW w:w="2440" w:type="dxa"/>
            <w:vMerge w:val="continue"/>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ascii="宋体" w:hAnsi="宋体" w:eastAsia="宋体" w:cs="宋体"/>
                <w:sz w:val="18"/>
                <w:szCs w:val="18"/>
                <w:highlight w:val="none"/>
              </w:rPr>
            </w:pPr>
          </w:p>
        </w:tc>
        <w:tc>
          <w:tcPr>
            <w:tcW w:w="3192"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rPr>
                <w:highlight w:val="none"/>
              </w:rPr>
            </w:pPr>
            <w:r>
              <w:rPr>
                <w:rFonts w:hint="eastAsia" w:ascii="宋体" w:hAnsi="宋体" w:eastAsia="宋体" w:cs="宋体"/>
                <w:color w:val="000000"/>
                <w:highlight w:val="none"/>
              </w:rPr>
              <w:t>　</w:t>
            </w:r>
          </w:p>
        </w:tc>
        <w:tc>
          <w:tcPr>
            <w:tcW w:w="2425" w:type="dxa"/>
            <w:gridSpan w:val="2"/>
            <w:tcBorders>
              <w:top w:val="nil"/>
              <w:left w:val="nil"/>
              <w:bottom w:val="single" w:color="auto" w:sz="8" w:space="0"/>
              <w:right w:val="nil"/>
            </w:tcBorders>
            <w:shd w:val="clear" w:color="auto" w:fill="auto"/>
            <w:tcMar>
              <w:left w:w="108" w:type="dxa"/>
              <w:right w:w="108" w:type="dxa"/>
            </w:tcMar>
            <w:vAlign w:val="center"/>
          </w:tcPr>
          <w:p>
            <w:pPr>
              <w:pStyle w:val="3"/>
              <w:widowControl/>
              <w:spacing w:beforeAutospacing="0" w:afterAutospacing="0" w:line="315" w:lineRule="atLeast"/>
              <w:ind w:firstLine="420"/>
              <w:rPr>
                <w:highlight w:val="none"/>
              </w:rPr>
            </w:pPr>
            <w:r>
              <w:rPr>
                <w:rFonts w:hint="eastAsia" w:ascii="宋体" w:hAnsi="宋体" w:eastAsia="宋体" w:cs="宋体"/>
                <w:color w:val="000000"/>
                <w:highlight w:val="none"/>
              </w:rPr>
              <w:t>　</w:t>
            </w:r>
          </w:p>
        </w:tc>
        <w:tc>
          <w:tcPr>
            <w:tcW w:w="242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rPr>
                <w:highlight w:val="none"/>
              </w:rPr>
            </w:pPr>
            <w:r>
              <w:rPr>
                <w:rFonts w:hint="eastAsia" w:ascii="宋体" w:hAnsi="宋体" w:eastAsia="宋体" w:cs="宋体"/>
                <w:color w:val="000000"/>
                <w:highlight w:val="none"/>
              </w:rPr>
              <w:t>年</w:t>
            </w:r>
            <w:r>
              <w:rPr>
                <w:rFonts w:ascii="ˎ̥" w:hAnsi="ˎ̥" w:eastAsia="ˎ̥" w:cs="ˎ̥"/>
                <w:color w:val="000000"/>
                <w:highlight w:val="none"/>
              </w:rPr>
              <w:t xml:space="preserve">  </w:t>
            </w:r>
            <w:r>
              <w:rPr>
                <w:rFonts w:hint="eastAsia" w:ascii="宋体" w:hAnsi="宋体" w:eastAsia="宋体" w:cs="宋体"/>
                <w:color w:val="000000"/>
                <w:highlight w:val="none"/>
              </w:rPr>
              <w:t>月</w:t>
            </w:r>
            <w:r>
              <w:rPr>
                <w:rFonts w:ascii="ˎ̥" w:hAnsi="ˎ̥" w:eastAsia="ˎ̥" w:cs="ˎ̥"/>
                <w:color w:val="000000"/>
                <w:highlight w:val="none"/>
              </w:rPr>
              <w:t xml:space="preserve">   </w:t>
            </w:r>
            <w:r>
              <w:rPr>
                <w:rFonts w:hint="eastAsia" w:ascii="宋体" w:hAnsi="宋体" w:eastAsia="宋体" w:cs="宋体"/>
                <w:color w:val="000000"/>
                <w:highlight w:val="none"/>
              </w:rPr>
              <w:t>日</w:t>
            </w:r>
          </w:p>
        </w:tc>
      </w:tr>
      <w:tr>
        <w:tblPrEx>
          <w:tblCellMar>
            <w:top w:w="0" w:type="dxa"/>
            <w:left w:w="0" w:type="dxa"/>
            <w:bottom w:w="0" w:type="dxa"/>
            <w:right w:w="0" w:type="dxa"/>
          </w:tblCellMar>
        </w:tblPrEx>
        <w:trPr>
          <w:trHeight w:val="1624" w:hRule="atLeast"/>
          <w:jc w:val="center"/>
        </w:trPr>
        <w:tc>
          <w:tcPr>
            <w:tcW w:w="244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widowControl/>
              <w:spacing w:beforeAutospacing="0" w:afterAutospacing="0" w:line="315" w:lineRule="atLeast"/>
              <w:ind w:firstLine="420"/>
              <w:jc w:val="center"/>
              <w:rPr>
                <w:highlight w:val="none"/>
              </w:rPr>
            </w:pPr>
            <w:r>
              <w:rPr>
                <w:rFonts w:hint="eastAsia" w:ascii="宋体" w:hAnsi="宋体" w:eastAsia="宋体" w:cs="宋体"/>
                <w:color w:val="000000"/>
                <w:highlight w:val="none"/>
              </w:rPr>
              <w:t>如个人汇款，此栏请填写汇款人姓名</w:t>
            </w:r>
          </w:p>
        </w:tc>
        <w:tc>
          <w:tcPr>
            <w:tcW w:w="8040" w:type="dxa"/>
            <w:gridSpan w:val="5"/>
            <w:tcBorders>
              <w:top w:val="nil"/>
              <w:left w:val="nil"/>
              <w:bottom w:val="single" w:color="auto" w:sz="8" w:space="0"/>
              <w:right w:val="single" w:color="000000" w:sz="8" w:space="0"/>
            </w:tcBorders>
            <w:shd w:val="clear" w:color="auto" w:fill="auto"/>
            <w:tcMar>
              <w:left w:w="108" w:type="dxa"/>
              <w:right w:w="108" w:type="dxa"/>
            </w:tcMar>
            <w:vAlign w:val="center"/>
          </w:tcPr>
          <w:p>
            <w:pPr>
              <w:pStyle w:val="3"/>
              <w:widowControl/>
              <w:spacing w:beforeAutospacing="0" w:afterAutospacing="0" w:line="315" w:lineRule="atLeast"/>
              <w:ind w:firstLine="420"/>
              <w:rPr>
                <w:highlight w:val="none"/>
              </w:rPr>
            </w:pPr>
            <w:r>
              <w:rPr>
                <w:rFonts w:hint="eastAsia" w:ascii="宋体" w:hAnsi="宋体" w:eastAsia="宋体" w:cs="宋体"/>
                <w:color w:val="000000"/>
                <w:highlight w:val="none"/>
              </w:rPr>
              <w:t>　</w:t>
            </w:r>
          </w:p>
          <w:p>
            <w:pPr>
              <w:pStyle w:val="3"/>
              <w:widowControl/>
              <w:spacing w:beforeAutospacing="0" w:afterAutospacing="0" w:line="315" w:lineRule="atLeast"/>
              <w:ind w:firstLine="420"/>
              <w:rPr>
                <w:highlight w:val="none"/>
              </w:rPr>
            </w:pPr>
          </w:p>
        </w:tc>
      </w:tr>
    </w:tbl>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right="0" w:firstLine="3373" w:firstLineChars="1200"/>
        <w:jc w:val="both"/>
        <w:rPr>
          <w:rFonts w:hint="eastAsia" w:ascii="宋体" w:hAnsi="宋体" w:eastAsia="宋体" w:cs="宋体"/>
          <w:b/>
          <w:i w:val="0"/>
          <w:caps w:val="0"/>
          <w:color w:val="000000"/>
          <w:spacing w:val="0"/>
          <w:sz w:val="28"/>
          <w:szCs w:val="28"/>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right="0" w:firstLine="3373" w:firstLineChars="1200"/>
        <w:jc w:val="both"/>
        <w:rPr>
          <w:rFonts w:hint="eastAsia" w:ascii="宋体" w:hAnsi="宋体" w:eastAsia="宋体" w:cs="宋体"/>
          <w:b/>
          <w:i w:val="0"/>
          <w:caps w:val="0"/>
          <w:color w:val="000000"/>
          <w:spacing w:val="0"/>
          <w:sz w:val="28"/>
          <w:szCs w:val="28"/>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right="0" w:firstLine="3373" w:firstLineChars="1200"/>
        <w:jc w:val="both"/>
        <w:rPr>
          <w:rFonts w:hint="eastAsia" w:ascii="宋体" w:hAnsi="宋体" w:eastAsia="宋体" w:cs="宋体"/>
          <w:b/>
          <w:i w:val="0"/>
          <w:caps w:val="0"/>
          <w:color w:val="000000"/>
          <w:spacing w:val="0"/>
          <w:sz w:val="28"/>
          <w:szCs w:val="28"/>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right="0" w:firstLine="3373" w:firstLineChars="1200"/>
        <w:jc w:val="both"/>
        <w:rPr>
          <w:rFonts w:hint="default" w:ascii="Times New Roman" w:hAnsi="Times New Roman" w:cs="Times New Roman"/>
          <w:b w:val="0"/>
          <w:i w:val="0"/>
          <w:caps w:val="0"/>
          <w:color w:val="4E4E4E"/>
          <w:spacing w:val="0"/>
          <w:sz w:val="21"/>
          <w:szCs w:val="21"/>
        </w:rPr>
      </w:pPr>
      <w:r>
        <w:rPr>
          <w:rFonts w:hint="eastAsia" w:ascii="宋体" w:hAnsi="宋体" w:eastAsia="宋体" w:cs="宋体"/>
          <w:b/>
          <w:i w:val="0"/>
          <w:caps w:val="0"/>
          <w:color w:val="000000"/>
          <w:spacing w:val="0"/>
          <w:sz w:val="28"/>
          <w:szCs w:val="28"/>
          <w:shd w:val="clear" w:color="auto" w:fill="FFFFFF"/>
        </w:rPr>
        <w:t>物资需求一览表：</w:t>
      </w:r>
    </w:p>
    <w:tbl>
      <w:tblPr>
        <w:tblStyle w:val="4"/>
        <w:tblW w:w="10576"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89"/>
        <w:gridCol w:w="985"/>
        <w:gridCol w:w="1110"/>
        <w:gridCol w:w="876"/>
        <w:gridCol w:w="1622"/>
        <w:gridCol w:w="874"/>
        <w:gridCol w:w="1429"/>
        <w:gridCol w:w="1470"/>
        <w:gridCol w:w="152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689" w:type="dxa"/>
            <w:tcBorders>
              <w:top w:val="single" w:color="000000" w:sz="8" w:space="0"/>
              <w:left w:val="single" w:color="000000" w:sz="8" w:space="0"/>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序号</w:t>
            </w:r>
          </w:p>
        </w:tc>
        <w:tc>
          <w:tcPr>
            <w:tcW w:w="985" w:type="dxa"/>
            <w:tcBorders>
              <w:top w:val="single" w:color="000000" w:sz="8" w:space="0"/>
              <w:left w:val="nil"/>
              <w:bottom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包件号</w:t>
            </w:r>
          </w:p>
        </w:tc>
        <w:tc>
          <w:tcPr>
            <w:tcW w:w="1110" w:type="dxa"/>
            <w:tcBorders>
              <w:top w:val="single" w:color="000000" w:sz="8" w:space="0"/>
              <w:left w:val="nil"/>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标书售价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（元）</w:t>
            </w:r>
          </w:p>
        </w:tc>
        <w:tc>
          <w:tcPr>
            <w:tcW w:w="87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Times New Roman" w:hAnsi="Times New Roman" w:eastAsia="宋体" w:cs="Times New Roman"/>
                <w:color w:val="4E4E4E"/>
                <w:sz w:val="21"/>
                <w:szCs w:val="21"/>
                <w:lang w:eastAsia="zh-CN"/>
              </w:rPr>
            </w:pPr>
            <w:r>
              <w:rPr>
                <w:rFonts w:hint="eastAsia" w:ascii="宋体" w:hAnsi="宋体" w:eastAsia="宋体" w:cs="宋体"/>
                <w:b/>
                <w:color w:val="000000"/>
                <w:sz w:val="21"/>
                <w:szCs w:val="21"/>
                <w:lang w:val="en-US" w:eastAsia="zh-CN"/>
              </w:rPr>
              <w:t>名称</w:t>
            </w:r>
          </w:p>
        </w:tc>
        <w:tc>
          <w:tcPr>
            <w:tcW w:w="162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eastAsia" w:ascii="宋体" w:hAnsi="宋体" w:eastAsia="宋体" w:cs="宋体"/>
                <w:b/>
                <w:color w:val="000000"/>
                <w:sz w:val="21"/>
                <w:szCs w:val="21"/>
              </w:rPr>
            </w:pPr>
            <w:r>
              <w:rPr>
                <w:rFonts w:hint="eastAsia" w:ascii="宋体" w:hAnsi="宋体" w:eastAsia="宋体" w:cs="宋体"/>
                <w:b/>
                <w:color w:val="000000"/>
                <w:sz w:val="21"/>
                <w:szCs w:val="21"/>
              </w:rPr>
              <w:t>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型号</w:t>
            </w:r>
          </w:p>
        </w:tc>
        <w:tc>
          <w:tcPr>
            <w:tcW w:w="87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计量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单位</w:t>
            </w:r>
          </w:p>
        </w:tc>
        <w:tc>
          <w:tcPr>
            <w:tcW w:w="1429"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数量</w:t>
            </w:r>
          </w:p>
        </w:tc>
        <w:tc>
          <w:tcPr>
            <w:tcW w:w="1470"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交货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ascii="Times New Roman" w:hAnsi="Times New Roman" w:cs="Times New Roman"/>
                <w:color w:val="4E4E4E"/>
                <w:sz w:val="21"/>
                <w:szCs w:val="21"/>
              </w:rPr>
            </w:pPr>
            <w:r>
              <w:rPr>
                <w:rFonts w:hint="eastAsia" w:ascii="宋体" w:hAnsi="宋体" w:eastAsia="宋体" w:cs="宋体"/>
                <w:b/>
                <w:color w:val="000000"/>
                <w:sz w:val="21"/>
                <w:szCs w:val="21"/>
              </w:rPr>
              <w:t>地点</w:t>
            </w:r>
          </w:p>
        </w:tc>
        <w:tc>
          <w:tcPr>
            <w:tcW w:w="1521" w:type="dxa"/>
            <w:tcBorders>
              <w:top w:val="single" w:color="000000" w:sz="8" w:space="0"/>
              <w:left w:val="nil"/>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689" w:type="dxa"/>
            <w:vMerge w:val="restart"/>
            <w:tcBorders>
              <w:top w:val="single" w:color="auto" w:sz="4" w:space="0"/>
              <w:left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cs="宋体"/>
                <w:b/>
                <w:color w:val="000000"/>
                <w:sz w:val="21"/>
                <w:szCs w:val="21"/>
                <w:lang w:val="en-US" w:eastAsia="zh-CN"/>
              </w:rPr>
            </w:pPr>
            <w:r>
              <w:rPr>
                <w:rFonts w:hint="eastAsia" w:cs="宋体"/>
                <w:b/>
                <w:color w:val="000000"/>
                <w:sz w:val="21"/>
                <w:szCs w:val="21"/>
                <w:lang w:val="en-US" w:eastAsia="zh-CN"/>
              </w:rPr>
              <w:t>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p>
        </w:tc>
        <w:tc>
          <w:tcPr>
            <w:tcW w:w="985" w:type="dxa"/>
            <w:vMerge w:val="restart"/>
            <w:tcBorders>
              <w:top w:val="single" w:color="auto" w:sz="4" w:space="0"/>
              <w:left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DC</w:t>
            </w:r>
          </w:p>
        </w:tc>
        <w:tc>
          <w:tcPr>
            <w:tcW w:w="1110" w:type="dxa"/>
            <w:tcBorders>
              <w:top w:val="single" w:color="auto" w:sz="4" w:space="0"/>
              <w:left w:val="nil"/>
              <w:bottom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cs="宋体"/>
                <w:b/>
                <w:color w:val="000000"/>
                <w:sz w:val="21"/>
                <w:szCs w:val="21"/>
                <w:lang w:val="en-US" w:eastAsia="zh-CN"/>
              </w:rPr>
              <w:t>0</w:t>
            </w:r>
          </w:p>
        </w:tc>
        <w:tc>
          <w:tcPr>
            <w:tcW w:w="876" w:type="dxa"/>
            <w:tcBorders>
              <w:top w:val="single" w:color="auto" w:sz="4"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Fonts w:hint="default" w:cs="宋体"/>
                <w:b/>
                <w:color w:val="000000"/>
                <w:sz w:val="21"/>
                <w:szCs w:val="21"/>
                <w:lang w:val="en-US" w:eastAsia="zh-CN"/>
              </w:rPr>
            </w:pPr>
            <w:r>
              <w:rPr>
                <w:rFonts w:hint="eastAsia" w:cs="宋体"/>
                <w:b/>
                <w:color w:val="000000"/>
                <w:sz w:val="21"/>
                <w:szCs w:val="21"/>
                <w:lang w:val="en-US" w:eastAsia="zh-CN"/>
              </w:rPr>
              <w:t>石屑</w:t>
            </w:r>
          </w:p>
        </w:tc>
        <w:tc>
          <w:tcPr>
            <w:tcW w:w="162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420" w:firstLineChars="0"/>
              <w:jc w:val="both"/>
              <w:rPr>
                <w:rFonts w:hint="default" w:cs="宋体"/>
                <w:b/>
                <w:color w:val="000000"/>
                <w:sz w:val="21"/>
                <w:szCs w:val="21"/>
                <w:highlight w:val="none"/>
                <w:lang w:val="en-US" w:eastAsia="zh-CN"/>
              </w:rPr>
            </w:pPr>
            <w:r>
              <w:rPr>
                <w:rFonts w:hint="eastAsia" w:cs="宋体"/>
                <w:b/>
                <w:color w:val="000000"/>
                <w:sz w:val="21"/>
                <w:szCs w:val="21"/>
                <w:lang w:val="en-US" w:eastAsia="zh-CN"/>
              </w:rPr>
              <w:t>0-5</w:t>
            </w:r>
          </w:p>
        </w:tc>
        <w:tc>
          <w:tcPr>
            <w:tcW w:w="87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lang w:val="en-US" w:eastAsia="zh-CN"/>
              </w:rPr>
            </w:pPr>
            <w:r>
              <w:rPr>
                <w:rFonts w:hint="eastAsia" w:cs="宋体"/>
                <w:b/>
                <w:color w:val="000000"/>
                <w:sz w:val="21"/>
                <w:szCs w:val="21"/>
                <w:lang w:val="en-US" w:eastAsia="zh-CN"/>
              </w:rPr>
              <w:t>M³</w:t>
            </w:r>
          </w:p>
        </w:tc>
        <w:tc>
          <w:tcPr>
            <w:tcW w:w="1429"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default" w:cs="宋体"/>
                <w:b/>
                <w:color w:val="000000"/>
                <w:sz w:val="21"/>
                <w:szCs w:val="21"/>
                <w:lang w:val="en-US" w:eastAsia="zh-CN"/>
              </w:rPr>
            </w:pPr>
            <w:r>
              <w:rPr>
                <w:rFonts w:hint="eastAsia" w:cs="宋体"/>
                <w:b/>
                <w:color w:val="000000"/>
                <w:sz w:val="21"/>
                <w:szCs w:val="21"/>
                <w:lang w:val="en-US" w:eastAsia="zh-CN"/>
              </w:rPr>
              <w:t>4860</w:t>
            </w:r>
          </w:p>
        </w:tc>
        <w:tc>
          <w:tcPr>
            <w:tcW w:w="1470"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Fonts w:hint="eastAsia" w:cs="宋体"/>
                <w:b/>
                <w:color w:val="000000"/>
                <w:sz w:val="21"/>
                <w:szCs w:val="21"/>
                <w:lang w:eastAsia="zh-CN"/>
              </w:rPr>
            </w:pPr>
            <w:r>
              <w:rPr>
                <w:rFonts w:hint="eastAsia" w:cs="宋体"/>
                <w:b/>
                <w:color w:val="000000"/>
                <w:sz w:val="21"/>
                <w:szCs w:val="21"/>
                <w:lang w:eastAsia="zh-CN"/>
              </w:rPr>
              <w:t>金龙大道路面改造工程项目</w:t>
            </w:r>
          </w:p>
        </w:tc>
        <w:tc>
          <w:tcPr>
            <w:tcW w:w="1521" w:type="dxa"/>
            <w:tcBorders>
              <w:top w:val="single" w:color="000000" w:sz="8" w:space="0"/>
              <w:left w:val="nil"/>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42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689" w:type="dxa"/>
            <w:vMerge w:val="continue"/>
            <w:tcBorders>
              <w:left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cs="宋体"/>
                <w:b/>
                <w:color w:val="000000"/>
                <w:sz w:val="21"/>
                <w:szCs w:val="21"/>
                <w:lang w:val="en-US" w:eastAsia="zh-CN"/>
              </w:rPr>
            </w:pPr>
          </w:p>
        </w:tc>
        <w:tc>
          <w:tcPr>
            <w:tcW w:w="985" w:type="dxa"/>
            <w:vMerge w:val="continue"/>
            <w:tcBorders>
              <w:left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p>
        </w:tc>
        <w:tc>
          <w:tcPr>
            <w:tcW w:w="1110" w:type="dxa"/>
            <w:tcBorders>
              <w:top w:val="single" w:color="000000" w:sz="8" w:space="0"/>
              <w:left w:val="nil"/>
              <w:bottom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cs="宋体"/>
                <w:b/>
                <w:color w:val="000000"/>
                <w:sz w:val="21"/>
                <w:szCs w:val="21"/>
                <w:lang w:val="en-US" w:eastAsia="zh-CN"/>
              </w:rPr>
              <w:t>0</w:t>
            </w:r>
          </w:p>
        </w:tc>
        <w:tc>
          <w:tcPr>
            <w:tcW w:w="876"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Fonts w:hint="default" w:cs="宋体"/>
                <w:b/>
                <w:color w:val="000000"/>
                <w:sz w:val="21"/>
                <w:szCs w:val="21"/>
                <w:lang w:val="en-US" w:eastAsia="zh-CN"/>
              </w:rPr>
            </w:pPr>
            <w:r>
              <w:rPr>
                <w:rFonts w:hint="eastAsia" w:cs="宋体"/>
                <w:b/>
                <w:color w:val="000000"/>
                <w:sz w:val="21"/>
                <w:szCs w:val="21"/>
                <w:lang w:val="en-US" w:eastAsia="zh-CN"/>
              </w:rPr>
              <w:t>碎石</w:t>
            </w:r>
          </w:p>
        </w:tc>
        <w:tc>
          <w:tcPr>
            <w:tcW w:w="162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420" w:firstLineChars="0"/>
              <w:jc w:val="both"/>
              <w:rPr>
                <w:rFonts w:hint="default" w:cs="宋体"/>
                <w:b/>
                <w:color w:val="000000"/>
                <w:sz w:val="21"/>
                <w:szCs w:val="21"/>
                <w:highlight w:val="none"/>
                <w:lang w:val="en-US" w:eastAsia="zh-CN"/>
              </w:rPr>
            </w:pPr>
            <w:r>
              <w:rPr>
                <w:rFonts w:hint="eastAsia" w:cs="宋体"/>
                <w:b/>
                <w:color w:val="000000"/>
                <w:sz w:val="21"/>
                <w:szCs w:val="21"/>
                <w:highlight w:val="none"/>
                <w:lang w:val="en-US" w:eastAsia="zh-CN"/>
              </w:rPr>
              <w:t>0-31.5mm</w:t>
            </w:r>
          </w:p>
        </w:tc>
        <w:tc>
          <w:tcPr>
            <w:tcW w:w="87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eastAsia" w:cs="宋体"/>
                <w:b/>
                <w:color w:val="000000"/>
                <w:sz w:val="21"/>
                <w:szCs w:val="21"/>
                <w:lang w:val="en-US" w:eastAsia="zh-CN"/>
              </w:rPr>
            </w:pPr>
            <w:r>
              <w:rPr>
                <w:rFonts w:hint="eastAsia" w:cs="宋体"/>
                <w:b/>
                <w:color w:val="000000"/>
                <w:sz w:val="21"/>
                <w:szCs w:val="21"/>
                <w:lang w:val="en-US" w:eastAsia="zh-CN"/>
              </w:rPr>
              <w:t>M³</w:t>
            </w:r>
          </w:p>
        </w:tc>
        <w:tc>
          <w:tcPr>
            <w:tcW w:w="1429"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center"/>
              <w:rPr>
                <w:rFonts w:hint="default" w:cs="宋体"/>
                <w:b/>
                <w:color w:val="000000"/>
                <w:sz w:val="21"/>
                <w:szCs w:val="21"/>
                <w:lang w:val="en-US" w:eastAsia="zh-CN"/>
              </w:rPr>
            </w:pPr>
            <w:r>
              <w:rPr>
                <w:rFonts w:hint="eastAsia" w:cs="宋体"/>
                <w:b/>
                <w:color w:val="000000"/>
                <w:sz w:val="21"/>
                <w:szCs w:val="21"/>
                <w:lang w:val="en-US" w:eastAsia="zh-CN"/>
              </w:rPr>
              <w:t>107765</w:t>
            </w:r>
          </w:p>
        </w:tc>
        <w:tc>
          <w:tcPr>
            <w:tcW w:w="1470"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rightChars="0"/>
              <w:jc w:val="both"/>
              <w:rPr>
                <w:rFonts w:hint="eastAsia" w:cs="宋体"/>
                <w:b/>
                <w:color w:val="000000"/>
                <w:sz w:val="21"/>
                <w:szCs w:val="21"/>
                <w:lang w:eastAsia="zh-CN"/>
              </w:rPr>
            </w:pPr>
            <w:r>
              <w:rPr>
                <w:rFonts w:hint="eastAsia" w:cs="宋体"/>
                <w:b/>
                <w:color w:val="000000"/>
                <w:sz w:val="21"/>
                <w:szCs w:val="21"/>
                <w:lang w:eastAsia="zh-CN"/>
              </w:rPr>
              <w:t>金龙大道路面改造工程项目</w:t>
            </w:r>
          </w:p>
        </w:tc>
        <w:tc>
          <w:tcPr>
            <w:tcW w:w="1521" w:type="dxa"/>
            <w:tcBorders>
              <w:top w:val="single" w:color="000000" w:sz="8" w:space="0"/>
              <w:left w:val="nil"/>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420" w:firstLineChars="0"/>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68" w:hRule="atLeast"/>
          <w:jc w:val="center"/>
        </w:trPr>
        <w:tc>
          <w:tcPr>
            <w:tcW w:w="689" w:type="dxa"/>
            <w:vMerge w:val="continue"/>
            <w:tcBorders>
              <w:left w:val="single" w:color="auto" w:sz="4" w:space="0"/>
              <w:bottom w:val="single" w:color="auto" w:sz="4" w:space="0"/>
              <w:right w:val="single" w:color="auto"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p>
        </w:tc>
        <w:tc>
          <w:tcPr>
            <w:tcW w:w="985" w:type="dxa"/>
            <w:vMerge w:val="continue"/>
            <w:tcBorders>
              <w:left w:val="single" w:color="auto" w:sz="4" w:space="0"/>
              <w:bottom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p>
        </w:tc>
        <w:tc>
          <w:tcPr>
            <w:tcW w:w="1110" w:type="dxa"/>
            <w:tcBorders>
              <w:top w:val="single" w:color="auto" w:sz="4" w:space="0"/>
              <w:left w:val="nil"/>
              <w:bottom w:val="single" w:color="auto" w:sz="4"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cs="宋体"/>
                <w:b/>
                <w:color w:val="000000"/>
                <w:sz w:val="21"/>
                <w:szCs w:val="21"/>
                <w:lang w:val="en-US" w:eastAsia="zh-CN"/>
              </w:rPr>
              <w:t>0</w:t>
            </w:r>
          </w:p>
        </w:tc>
        <w:tc>
          <w:tcPr>
            <w:tcW w:w="876" w:type="dxa"/>
            <w:tcBorders>
              <w:top w:val="single" w:color="000000" w:sz="8" w:space="0"/>
              <w:left w:val="nil"/>
              <w:bottom w:val="single" w:color="auto" w:sz="4"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highlight w:val="none"/>
                <w:lang w:val="en-US" w:eastAsia="zh-CN"/>
              </w:rPr>
            </w:pPr>
            <w:r>
              <w:rPr>
                <w:rFonts w:hint="eastAsia" w:cs="宋体"/>
                <w:b/>
                <w:color w:val="000000"/>
                <w:sz w:val="21"/>
                <w:szCs w:val="21"/>
                <w:highlight w:val="none"/>
                <w:lang w:val="en-US" w:eastAsia="zh-CN"/>
              </w:rPr>
              <w:t>机制砂</w:t>
            </w:r>
          </w:p>
        </w:tc>
        <w:tc>
          <w:tcPr>
            <w:tcW w:w="1622"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rFonts w:hint="default" w:cs="宋体"/>
                <w:b/>
                <w:color w:val="000000"/>
                <w:sz w:val="21"/>
                <w:szCs w:val="21"/>
                <w:highlight w:val="none"/>
                <w:lang w:val="en-US" w:eastAsia="zh-CN"/>
              </w:rPr>
            </w:pPr>
            <w:r>
              <w:rPr>
                <w:rFonts w:hint="eastAsia" w:cs="宋体"/>
                <w:b/>
                <w:color w:val="000000"/>
                <w:sz w:val="21"/>
                <w:szCs w:val="21"/>
                <w:highlight w:val="none"/>
                <w:lang w:val="en-US" w:eastAsia="zh-CN"/>
              </w:rPr>
              <w:t>3mm-5mm</w:t>
            </w:r>
          </w:p>
        </w:tc>
        <w:tc>
          <w:tcPr>
            <w:tcW w:w="874" w:type="dxa"/>
            <w:tcBorders>
              <w:top w:val="single" w:color="000000" w:sz="8" w:space="0"/>
              <w:left w:val="nil"/>
              <w:bottom w:val="single" w:color="000000"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cs="宋体"/>
                <w:b/>
                <w:color w:val="000000"/>
                <w:sz w:val="21"/>
                <w:szCs w:val="21"/>
                <w:lang w:val="en-US" w:eastAsia="zh-CN"/>
              </w:rPr>
              <w:t>M³</w:t>
            </w:r>
          </w:p>
        </w:tc>
        <w:tc>
          <w:tcPr>
            <w:tcW w:w="1429"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center"/>
              <w:rPr>
                <w:rFonts w:hint="default" w:ascii="宋体" w:hAnsi="宋体" w:eastAsia="宋体" w:cs="宋体"/>
                <w:b/>
                <w:color w:val="000000"/>
                <w:sz w:val="21"/>
                <w:szCs w:val="21"/>
                <w:lang w:val="en-US" w:eastAsia="zh-CN"/>
              </w:rPr>
            </w:pPr>
            <w:r>
              <w:rPr>
                <w:rFonts w:hint="eastAsia" w:cs="宋体"/>
                <w:b/>
                <w:color w:val="000000"/>
                <w:sz w:val="21"/>
                <w:szCs w:val="21"/>
                <w:lang w:val="en-US" w:eastAsia="zh-CN"/>
              </w:rPr>
              <w:t>33975</w:t>
            </w:r>
          </w:p>
        </w:tc>
        <w:tc>
          <w:tcPr>
            <w:tcW w:w="1470" w:type="dxa"/>
            <w:tcBorders>
              <w:top w:val="single" w:color="000000" w:sz="8" w:space="0"/>
              <w:left w:val="nil"/>
              <w:bottom w:val="single" w:color="auto" w:sz="8" w:space="0"/>
              <w:right w:val="single" w:color="000000"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right="0"/>
              <w:jc w:val="both"/>
              <w:rPr>
                <w:rFonts w:hint="eastAsia" w:ascii="宋体" w:hAnsi="宋体" w:eastAsia="宋体" w:cs="宋体"/>
                <w:b/>
                <w:color w:val="000000"/>
                <w:sz w:val="21"/>
                <w:szCs w:val="21"/>
              </w:rPr>
            </w:pPr>
            <w:r>
              <w:rPr>
                <w:rFonts w:hint="eastAsia" w:cs="宋体"/>
                <w:b/>
                <w:color w:val="000000"/>
                <w:sz w:val="21"/>
                <w:szCs w:val="21"/>
                <w:lang w:eastAsia="zh-CN"/>
              </w:rPr>
              <w:t>金龙大道路面改造工程项目</w:t>
            </w:r>
          </w:p>
        </w:tc>
        <w:tc>
          <w:tcPr>
            <w:tcW w:w="1521" w:type="dxa"/>
            <w:tcBorders>
              <w:top w:val="single" w:color="000000" w:sz="8" w:space="0"/>
              <w:left w:val="nil"/>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eastAsia" w:ascii="宋体" w:hAnsi="宋体" w:eastAsia="宋体" w:cs="宋体"/>
                <w:b/>
                <w:color w:val="000000"/>
                <w:sz w:val="21"/>
                <w:szCs w:val="21"/>
              </w:rPr>
            </w:pPr>
            <w:r>
              <w:rPr>
                <w:rFonts w:hint="eastAsia" w:ascii="宋体" w:hAnsi="宋体" w:eastAsia="宋体" w:cs="宋体"/>
                <w:color w:val="000000"/>
                <w:sz w:val="20"/>
                <w:szCs w:val="20"/>
              </w:rPr>
              <w:t>完好、质量合格、含装运</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10576" w:type="dxa"/>
            <w:gridSpan w:val="9"/>
            <w:tcBorders>
              <w:top w:val="nil"/>
              <w:left w:val="single" w:color="000000" w:sz="8" w:space="0"/>
              <w:bottom w:val="nil"/>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default" w:ascii="Times New Roman" w:hAnsi="Times New Roman" w:cs="Times New Roman"/>
                <w:color w:val="4E4E4E"/>
                <w:sz w:val="21"/>
                <w:szCs w:val="21"/>
              </w:rPr>
            </w:pPr>
            <w:r>
              <w:rPr>
                <w:rFonts w:hint="eastAsia" w:ascii="宋体" w:hAnsi="宋体" w:eastAsia="宋体" w:cs="宋体"/>
                <w:color w:val="000000"/>
                <w:sz w:val="21"/>
                <w:szCs w:val="21"/>
              </w:rPr>
              <w:t>注：以上材料数量为初步预算拟采购量，在合作供应过程中，以实际供应数量为准。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0576" w:type="dxa"/>
            <w:gridSpan w:val="9"/>
            <w:tcBorders>
              <w:top w:val="nil"/>
              <w:left w:val="single" w:color="000000" w:sz="8" w:space="0"/>
              <w:bottom w:val="single" w:color="000000" w:sz="8" w:space="0"/>
              <w:right w:val="single" w:color="000000" w:sz="8"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rFonts w:hint="eastAsia" w:ascii="宋体" w:hAnsi="宋体" w:eastAsia="宋体" w:cs="宋体"/>
                <w:color w:val="000000"/>
                <w:sz w:val="21"/>
                <w:szCs w:val="21"/>
              </w:rPr>
            </w:pPr>
          </w:p>
        </w:tc>
      </w:tr>
    </w:tbl>
    <w:p>
      <w:pPr>
        <w:rPr>
          <w:rFonts w:hint="eastAsia"/>
          <w:color w:val="000000"/>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AMGDT"/>
    <w:panose1 w:val="00000000000000000000"/>
    <w:charset w:val="00"/>
    <w:family w:val="auto"/>
    <w:pitch w:val="default"/>
    <w:sig w:usb0="00000000" w:usb1="00000000" w:usb2="00000000" w:usb3="00000000" w:csb0="00000000"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E0B9F"/>
    <w:rsid w:val="0C767F14"/>
    <w:rsid w:val="1F7E7B2A"/>
    <w:rsid w:val="2BBD3BF0"/>
    <w:rsid w:val="2ECE41F8"/>
    <w:rsid w:val="2F944E1C"/>
    <w:rsid w:val="3127086D"/>
    <w:rsid w:val="375E0B9F"/>
    <w:rsid w:val="380D6597"/>
    <w:rsid w:val="389A76AF"/>
    <w:rsid w:val="41971A68"/>
    <w:rsid w:val="43533C52"/>
    <w:rsid w:val="48756E86"/>
    <w:rsid w:val="4B045624"/>
    <w:rsid w:val="505F1206"/>
    <w:rsid w:val="630D3AD8"/>
    <w:rsid w:val="6BA73996"/>
    <w:rsid w:val="6E6C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djustRightInd w:val="0"/>
      <w:spacing w:line="416" w:lineRule="atLeast"/>
      <w:textAlignment w:val="baseline"/>
      <w:outlineLvl w:val="1"/>
    </w:pPr>
    <w:rPr>
      <w:rFonts w:ascii="Arial" w:hAnsi="Arial" w:eastAsia="黑体"/>
      <w:b/>
      <w:kern w:val="0"/>
      <w:sz w:val="3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singl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2020-04-14T06:46:00Z</dcterms:created>
  <dc:creator>且听风吟</dc:creator>
  <cp:lastModifiedBy>zhangyafei</cp:lastModifiedBy>
  <cp:lastPrinted>2021-01-24T07:29:00Z</cp:lastPrinted>
  <dcterms:modified xsi:type="dcterms:W3CDTF">2021-01-27T09:17:32Z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